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40"/>
        <w:spacing w:after="0"/>
        <w:rPr>
          <w:sz w:val="20"/>
          <w:szCs w:val="20"/>
          <w:color w:val="auto"/>
        </w:rPr>
      </w:pPr>
      <w:r>
        <w:rPr>
          <w:rFonts w:ascii="Arial" w:cs="Arial" w:eastAsia="Arial" w:hAnsi="Arial"/>
          <w:sz w:val="18"/>
          <w:szCs w:val="18"/>
          <w:b w:val="1"/>
          <w:bCs w:val="1"/>
          <w:color w:val="auto"/>
        </w:rPr>
        <w:t>As filed with the Securities and Exchange Commission on April 26,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84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40"/>
        <w:spacing w:after="0"/>
        <w:rPr>
          <w:sz w:val="20"/>
          <w:szCs w:val="20"/>
          <w:color w:val="auto"/>
        </w:rPr>
      </w:pPr>
      <w:r>
        <w:rPr>
          <w:rFonts w:ascii="Arial" w:cs="Arial" w:eastAsia="Arial" w:hAnsi="Arial"/>
          <w:sz w:val="32"/>
          <w:szCs w:val="32"/>
          <w:b w:val="1"/>
          <w:bCs w:val="1"/>
          <w:color w:val="auto"/>
        </w:rPr>
        <w:t>SECURITIES AND EXCHANGE COMMISSION</w:t>
      </w:r>
    </w:p>
    <w:p>
      <w:pPr>
        <w:ind w:left="3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84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840"/>
        <w:spacing w:after="0"/>
        <w:rPr>
          <w:sz w:val="20"/>
          <w:szCs w:val="20"/>
          <w:color w:val="auto"/>
        </w:rPr>
      </w:pPr>
      <w:r>
        <w:rPr>
          <w:rFonts w:ascii="Arial" w:cs="Arial" w:eastAsia="Arial" w:hAnsi="Arial"/>
          <w:sz w:val="32"/>
          <w:szCs w:val="32"/>
          <w:b w:val="1"/>
          <w:bCs w:val="1"/>
          <w:color w:val="auto"/>
        </w:rPr>
        <w:t>REGISTRATION STATEMENT</w:t>
      </w:r>
    </w:p>
    <w:p>
      <w:pPr>
        <w:jc w:val="center"/>
        <w:ind w:right="84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84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840"/>
        <w:spacing w:after="0"/>
        <w:rPr>
          <w:sz w:val="20"/>
          <w:szCs w:val="20"/>
          <w:color w:val="auto"/>
        </w:rPr>
      </w:pPr>
      <w:r>
        <w:rPr>
          <w:rFonts w:ascii="Arial" w:cs="Arial" w:eastAsia="Arial" w:hAnsi="Arial"/>
          <w:sz w:val="43"/>
          <w:szCs w:val="43"/>
          <w:b w:val="1"/>
          <w:bCs w:val="1"/>
          <w:color w:val="auto"/>
        </w:rPr>
        <w:t>Mesoblast Limited</w:t>
      </w:r>
    </w:p>
    <w:p>
      <w:pPr>
        <w:spacing w:after="0" w:line="50"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60" w:type="dxa"/>
        <w:tblCellMar>
          <w:top w:w="0" w:type="dxa"/>
          <w:left w:w="0" w:type="dxa"/>
          <w:bottom w:w="0" w:type="dxa"/>
          <w:right w:w="0" w:type="dxa"/>
        </w:tblCellMar>
      </w:tblPr>
      <w:tr>
        <w:trPr>
          <w:trHeight w:val="212"/>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3"/>
              </w:rPr>
              <w:t>Australia</w:t>
            </w:r>
          </w:p>
        </w:tc>
        <w:tc>
          <w:tcPr>
            <w:tcW w:w="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320" w:type="dxa"/>
            <w:vAlign w:val="bottom"/>
          </w:tcPr>
          <w:p>
            <w:pPr>
              <w:jc w:val="center"/>
              <w:ind w:left="1102"/>
              <w:spacing w:after="0"/>
              <w:rPr>
                <w:sz w:val="20"/>
                <w:szCs w:val="20"/>
                <w:color w:val="auto"/>
              </w:rPr>
            </w:pPr>
            <w:r>
              <w:rPr>
                <w:rFonts w:ascii="Arial" w:cs="Arial" w:eastAsia="Arial" w:hAnsi="Arial"/>
                <w:sz w:val="18"/>
                <w:szCs w:val="18"/>
                <w:b w:val="1"/>
                <w:bCs w:val="1"/>
                <w:color w:val="auto"/>
                <w:w w:val="90"/>
              </w:rPr>
              <w:t>Not Applicable</w:t>
            </w:r>
          </w:p>
        </w:tc>
      </w:tr>
      <w:tr>
        <w:trPr>
          <w:trHeight w:val="149"/>
        </w:trPr>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jc w:val="center"/>
              <w:ind w:left="11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6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320" w:type="dxa"/>
            <w:vAlign w:val="bottom"/>
          </w:tcPr>
          <w:p>
            <w:pPr>
              <w:jc w:val="center"/>
              <w:ind w:left="1102"/>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1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00" w:type="dxa"/>
            <w:vAlign w:val="bottom"/>
            <w:gridSpan w:val="2"/>
          </w:tcPr>
          <w:p>
            <w:pPr>
              <w:jc w:val="center"/>
              <w:ind w:right="2222"/>
              <w:spacing w:after="0"/>
              <w:rPr>
                <w:sz w:val="20"/>
                <w:szCs w:val="20"/>
                <w:color w:val="auto"/>
              </w:rPr>
            </w:pPr>
            <w:r>
              <w:rPr>
                <w:rFonts w:ascii="Arial" w:cs="Arial" w:eastAsia="Arial" w:hAnsi="Arial"/>
                <w:sz w:val="18"/>
                <w:szCs w:val="18"/>
                <w:b w:val="1"/>
                <w:bCs w:val="1"/>
                <w:color w:val="auto"/>
                <w:w w:val="91"/>
              </w:rPr>
              <w:t>Mesoblast Limited</w:t>
            </w:r>
          </w:p>
        </w:tc>
      </w:tr>
      <w:tr>
        <w:trPr>
          <w:trHeight w:val="216"/>
        </w:trPr>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00" w:type="dxa"/>
            <w:vAlign w:val="bottom"/>
            <w:gridSpan w:val="2"/>
          </w:tcPr>
          <w:p>
            <w:pPr>
              <w:jc w:val="center"/>
              <w:ind w:right="2222"/>
              <w:spacing w:after="0"/>
              <w:rPr>
                <w:sz w:val="20"/>
                <w:szCs w:val="20"/>
                <w:color w:val="auto"/>
              </w:rPr>
            </w:pPr>
            <w:r>
              <w:rPr>
                <w:rFonts w:ascii="Arial" w:cs="Arial" w:eastAsia="Arial" w:hAnsi="Arial"/>
                <w:sz w:val="18"/>
                <w:szCs w:val="18"/>
                <w:b w:val="1"/>
                <w:bCs w:val="1"/>
                <w:color w:val="auto"/>
                <w:w w:val="90"/>
              </w:rPr>
              <w:t>Level 38</w:t>
            </w:r>
          </w:p>
        </w:tc>
      </w:tr>
      <w:tr>
        <w:trPr>
          <w:trHeight w:val="216"/>
        </w:trPr>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00" w:type="dxa"/>
            <w:vAlign w:val="bottom"/>
            <w:gridSpan w:val="2"/>
          </w:tcPr>
          <w:p>
            <w:pPr>
              <w:jc w:val="center"/>
              <w:ind w:right="2242"/>
              <w:spacing w:after="0"/>
              <w:rPr>
                <w:sz w:val="20"/>
                <w:szCs w:val="20"/>
                <w:color w:val="auto"/>
              </w:rPr>
            </w:pPr>
            <w:r>
              <w:rPr>
                <w:rFonts w:ascii="Arial" w:cs="Arial" w:eastAsia="Arial" w:hAnsi="Arial"/>
                <w:sz w:val="18"/>
                <w:szCs w:val="18"/>
                <w:b w:val="1"/>
                <w:bCs w:val="1"/>
                <w:color w:val="auto"/>
                <w:w w:val="89"/>
              </w:rPr>
              <w:t>55 Collins Street</w:t>
            </w:r>
          </w:p>
        </w:tc>
      </w:tr>
      <w:tr>
        <w:trPr>
          <w:trHeight w:val="216"/>
        </w:trPr>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00" w:type="dxa"/>
            <w:vAlign w:val="bottom"/>
            <w:gridSpan w:val="2"/>
          </w:tcPr>
          <w:p>
            <w:pPr>
              <w:jc w:val="center"/>
              <w:ind w:right="2242"/>
              <w:spacing w:after="0"/>
              <w:rPr>
                <w:sz w:val="20"/>
                <w:szCs w:val="20"/>
                <w:color w:val="auto"/>
              </w:rPr>
            </w:pPr>
            <w:r>
              <w:rPr>
                <w:rFonts w:ascii="Arial" w:cs="Arial" w:eastAsia="Arial" w:hAnsi="Arial"/>
                <w:sz w:val="18"/>
                <w:szCs w:val="18"/>
                <w:b w:val="1"/>
                <w:bCs w:val="1"/>
                <w:color w:val="auto"/>
                <w:w w:val="92"/>
              </w:rPr>
              <w:t>Melbourne 3000</w:t>
            </w:r>
          </w:p>
        </w:tc>
      </w:tr>
      <w:tr>
        <w:trPr>
          <w:trHeight w:val="216"/>
        </w:trPr>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00" w:type="dxa"/>
            <w:vAlign w:val="bottom"/>
            <w:gridSpan w:val="2"/>
          </w:tcPr>
          <w:p>
            <w:pPr>
              <w:jc w:val="center"/>
              <w:ind w:right="2222"/>
              <w:spacing w:after="0"/>
              <w:rPr>
                <w:sz w:val="20"/>
                <w:szCs w:val="20"/>
                <w:color w:val="auto"/>
              </w:rPr>
            </w:pPr>
            <w:r>
              <w:rPr>
                <w:rFonts w:ascii="Arial" w:cs="Arial" w:eastAsia="Arial" w:hAnsi="Arial"/>
                <w:sz w:val="18"/>
                <w:szCs w:val="18"/>
                <w:b w:val="1"/>
                <w:bCs w:val="1"/>
                <w:color w:val="auto"/>
                <w:w w:val="93"/>
              </w:rPr>
              <w:t>Australia</w:t>
            </w:r>
          </w:p>
        </w:tc>
      </w:tr>
      <w:tr>
        <w:trPr>
          <w:trHeight w:val="212"/>
        </w:trPr>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00" w:type="dxa"/>
            <w:vAlign w:val="bottom"/>
            <w:gridSpan w:val="2"/>
          </w:tcPr>
          <w:p>
            <w:pPr>
              <w:jc w:val="center"/>
              <w:ind w:right="2242"/>
              <w:spacing w:after="0"/>
              <w:rPr>
                <w:sz w:val="20"/>
                <w:szCs w:val="20"/>
                <w:color w:val="auto"/>
              </w:rPr>
            </w:pPr>
            <w:r>
              <w:rPr>
                <w:rFonts w:ascii="Arial" w:cs="Arial" w:eastAsia="Arial" w:hAnsi="Arial"/>
                <w:sz w:val="18"/>
                <w:szCs w:val="18"/>
                <w:b w:val="1"/>
                <w:bCs w:val="1"/>
                <w:color w:val="auto"/>
                <w:w w:val="90"/>
              </w:rPr>
              <w:t>Telephone: +61 (3) 9639-6036</w:t>
            </w:r>
          </w:p>
        </w:tc>
      </w:tr>
      <w:tr>
        <w:trPr>
          <w:trHeight w:val="186"/>
        </w:trPr>
        <w:tc>
          <w:tcPr>
            <w:tcW w:w="1920" w:type="dxa"/>
            <w:vAlign w:val="bottom"/>
          </w:tcPr>
          <w:p>
            <w:pPr>
              <w:spacing w:after="0"/>
              <w:rPr>
                <w:sz w:val="16"/>
                <w:szCs w:val="16"/>
                <w:color w:val="auto"/>
              </w:rPr>
            </w:pPr>
          </w:p>
        </w:tc>
        <w:tc>
          <w:tcPr>
            <w:tcW w:w="5340" w:type="dxa"/>
            <w:vAlign w:val="bottom"/>
            <w:gridSpan w:val="3"/>
          </w:tcPr>
          <w:p>
            <w:pPr>
              <w:jc w:val="center"/>
              <w:ind w:right="1582"/>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36"/>
        </w:trPr>
        <w:tc>
          <w:tcPr>
            <w:tcW w:w="1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407"/>
        </w:trPr>
        <w:tc>
          <w:tcPr>
            <w:tcW w:w="1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00" w:type="dxa"/>
            <w:vAlign w:val="bottom"/>
            <w:gridSpan w:val="2"/>
          </w:tcPr>
          <w:p>
            <w:pPr>
              <w:jc w:val="center"/>
              <w:ind w:right="2222"/>
              <w:spacing w:after="0"/>
              <w:rPr>
                <w:sz w:val="20"/>
                <w:szCs w:val="20"/>
                <w:color w:val="auto"/>
              </w:rPr>
            </w:pPr>
            <w:r>
              <w:rPr>
                <w:rFonts w:ascii="Arial" w:cs="Arial" w:eastAsia="Arial" w:hAnsi="Arial"/>
                <w:sz w:val="18"/>
                <w:szCs w:val="18"/>
                <w:b w:val="1"/>
                <w:bCs w:val="1"/>
                <w:color w:val="auto"/>
                <w:w w:val="91"/>
              </w:rPr>
              <w:t>Employee Share Option Plan</w:t>
            </w:r>
          </w:p>
        </w:tc>
      </w:tr>
      <w:tr>
        <w:trPr>
          <w:trHeight w:val="212"/>
        </w:trPr>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00" w:type="dxa"/>
            <w:vAlign w:val="bottom"/>
            <w:gridSpan w:val="2"/>
          </w:tcPr>
          <w:p>
            <w:pPr>
              <w:jc w:val="center"/>
              <w:ind w:right="2222"/>
              <w:spacing w:after="0"/>
              <w:rPr>
                <w:sz w:val="20"/>
                <w:szCs w:val="20"/>
                <w:color w:val="auto"/>
              </w:rPr>
            </w:pPr>
            <w:r>
              <w:rPr>
                <w:rFonts w:ascii="Arial" w:cs="Arial" w:eastAsia="Arial" w:hAnsi="Arial"/>
                <w:sz w:val="18"/>
                <w:szCs w:val="18"/>
                <w:b w:val="1"/>
                <w:bCs w:val="1"/>
                <w:color w:val="auto"/>
                <w:w w:val="90"/>
              </w:rPr>
              <w:t>Loan Funded Share Plan</w:t>
            </w:r>
          </w:p>
        </w:tc>
      </w:tr>
      <w:tr>
        <w:trPr>
          <w:trHeight w:val="186"/>
        </w:trPr>
        <w:tc>
          <w:tcPr>
            <w:tcW w:w="1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700" w:type="dxa"/>
            <w:vAlign w:val="bottom"/>
            <w:gridSpan w:val="2"/>
          </w:tcPr>
          <w:p>
            <w:pPr>
              <w:jc w:val="center"/>
              <w:ind w:right="2242"/>
              <w:spacing w:after="0"/>
              <w:rPr>
                <w:sz w:val="20"/>
                <w:szCs w:val="20"/>
                <w:color w:val="auto"/>
              </w:rPr>
            </w:pPr>
            <w:r>
              <w:rPr>
                <w:rFonts w:ascii="Arial" w:cs="Arial" w:eastAsia="Arial" w:hAnsi="Arial"/>
                <w:sz w:val="14"/>
                <w:szCs w:val="14"/>
                <w:b w:val="1"/>
                <w:bCs w:val="1"/>
                <w:color w:val="auto"/>
                <w:w w:val="94"/>
              </w:rPr>
              <w:t>(Full title of the plan)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222250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Mesoblast Inc.</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Level 3, 505 5th Ave.</w:t>
      </w: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Telephone: (212) 880-2060</w:t>
      </w:r>
    </w:p>
    <w:p>
      <w:pPr>
        <w:spacing w:after="0" w:line="2" w:lineRule="exact"/>
        <w:rPr>
          <w:sz w:val="24"/>
          <w:szCs w:val="24"/>
          <w:color w:val="auto"/>
        </w:rPr>
      </w:pPr>
    </w:p>
    <w:p>
      <w:pPr>
        <w:ind w:left="2060"/>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ectPr>
          <w:pgSz w:w="11900" w:h="16838" w:orient="portrait"/>
          <w:cols w:equalWidth="0" w:num="1">
            <w:col w:w="9860"/>
          </w:cols>
          <w:pgMar w:left="1440" w:top="229" w:right="599" w:bottom="1440" w:gutter="0" w:footer="0" w:header="0"/>
        </w:sectPr>
      </w:pPr>
    </w:p>
    <w:bookmarkStart w:id="1" w:name="page2"/>
    <w:bookmarkEnd w:id="1"/>
    <w:tbl>
      <w:tblPr>
        <w:tblLayout w:type="fixed"/>
        <w:tblInd w:w="136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5400" w:type="dxa"/>
            <w:vAlign w:val="bottom"/>
          </w:tcPr>
          <w:p>
            <w:pPr>
              <w:ind w:left="460"/>
              <w:spacing w:after="0"/>
              <w:rPr>
                <w:sz w:val="20"/>
                <w:szCs w:val="20"/>
                <w:color w:val="auto"/>
              </w:rPr>
            </w:pPr>
            <w:r>
              <w:rPr>
                <w:rFonts w:ascii="Arial" w:cs="Arial" w:eastAsia="Arial" w:hAnsi="Arial"/>
                <w:sz w:val="18"/>
                <w:szCs w:val="18"/>
                <w:i w:val="1"/>
                <w:iCs w:val="1"/>
                <w:color w:val="auto"/>
              </w:rPr>
              <w:t>Copies to:</w:t>
            </w:r>
          </w:p>
        </w:tc>
      </w:tr>
      <w:tr>
        <w:trPr>
          <w:trHeight w:val="441"/>
        </w:trPr>
        <w:tc>
          <w:tcPr>
            <w:tcW w:w="3520" w:type="dxa"/>
            <w:vAlign w:val="bottom"/>
          </w:tcPr>
          <w:p>
            <w:pPr>
              <w:jc w:val="center"/>
              <w:ind w:right="350"/>
              <w:spacing w:after="0"/>
              <w:rPr>
                <w:sz w:val="20"/>
                <w:szCs w:val="20"/>
                <w:color w:val="auto"/>
              </w:rPr>
            </w:pPr>
            <w:r>
              <w:rPr>
                <w:rFonts w:ascii="Arial" w:cs="Arial" w:eastAsia="Arial" w:hAnsi="Arial"/>
                <w:sz w:val="18"/>
                <w:szCs w:val="18"/>
                <w:b w:val="1"/>
                <w:bCs w:val="1"/>
                <w:color w:val="auto"/>
                <w:w w:val="88"/>
              </w:rPr>
              <w:t>Jeffrey Saper, Esq.</w:t>
            </w:r>
          </w:p>
        </w:tc>
        <w:tc>
          <w:tcPr>
            <w:tcW w:w="5400" w:type="dxa"/>
            <w:vAlign w:val="bottom"/>
          </w:tcPr>
          <w:p>
            <w:pPr>
              <w:jc w:val="center"/>
              <w:ind w:left="2070"/>
              <w:spacing w:after="0"/>
              <w:rPr>
                <w:sz w:val="20"/>
                <w:szCs w:val="20"/>
                <w:color w:val="auto"/>
              </w:rPr>
            </w:pPr>
            <w:r>
              <w:rPr>
                <w:rFonts w:ascii="Arial" w:cs="Arial" w:eastAsia="Arial" w:hAnsi="Arial"/>
                <w:sz w:val="18"/>
                <w:szCs w:val="18"/>
                <w:b w:val="1"/>
                <w:bCs w:val="1"/>
                <w:color w:val="auto"/>
                <w:w w:val="93"/>
              </w:rPr>
              <w:t>Peter T. Howard</w:t>
            </w:r>
          </w:p>
        </w:tc>
      </w:tr>
      <w:tr>
        <w:trPr>
          <w:trHeight w:val="216"/>
        </w:trPr>
        <w:tc>
          <w:tcPr>
            <w:tcW w:w="352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Steven V. Bernard, Esq.</w:t>
            </w:r>
          </w:p>
        </w:tc>
        <w:tc>
          <w:tcPr>
            <w:tcW w:w="5400" w:type="dxa"/>
            <w:vAlign w:val="bottom"/>
          </w:tcPr>
          <w:p>
            <w:pPr>
              <w:jc w:val="center"/>
              <w:ind w:left="2050"/>
              <w:spacing w:after="0"/>
              <w:rPr>
                <w:sz w:val="20"/>
                <w:szCs w:val="20"/>
                <w:color w:val="auto"/>
              </w:rPr>
            </w:pPr>
            <w:r>
              <w:rPr>
                <w:rFonts w:ascii="Arial" w:cs="Arial" w:eastAsia="Arial" w:hAnsi="Arial"/>
                <w:sz w:val="18"/>
                <w:szCs w:val="18"/>
                <w:b w:val="1"/>
                <w:bCs w:val="1"/>
                <w:color w:val="auto"/>
                <w:w w:val="90"/>
              </w:rPr>
              <w:t>General Counsel and Corporate Executive</w:t>
            </w:r>
          </w:p>
        </w:tc>
      </w:tr>
      <w:tr>
        <w:trPr>
          <w:trHeight w:val="216"/>
        </w:trPr>
        <w:tc>
          <w:tcPr>
            <w:tcW w:w="352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Megan J. Baier, Esq.</w:t>
            </w:r>
          </w:p>
        </w:tc>
        <w:tc>
          <w:tcPr>
            <w:tcW w:w="5400" w:type="dxa"/>
            <w:vAlign w:val="bottom"/>
          </w:tcPr>
          <w:p>
            <w:pPr>
              <w:jc w:val="center"/>
              <w:ind w:left="2050"/>
              <w:spacing w:after="0"/>
              <w:rPr>
                <w:sz w:val="20"/>
                <w:szCs w:val="20"/>
                <w:color w:val="auto"/>
              </w:rPr>
            </w:pPr>
            <w:r>
              <w:rPr>
                <w:rFonts w:ascii="Arial" w:cs="Arial" w:eastAsia="Arial" w:hAnsi="Arial"/>
                <w:sz w:val="18"/>
                <w:szCs w:val="18"/>
                <w:b w:val="1"/>
                <w:bCs w:val="1"/>
                <w:color w:val="auto"/>
                <w:w w:val="90"/>
              </w:rPr>
              <w:t>Mesoblast Limited</w:t>
            </w:r>
          </w:p>
        </w:tc>
      </w:tr>
      <w:tr>
        <w:trPr>
          <w:trHeight w:val="216"/>
        </w:trPr>
        <w:tc>
          <w:tcPr>
            <w:tcW w:w="352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Wilson Sonsini Goodrich &amp; Rosati, P.C.</w:t>
            </w:r>
          </w:p>
        </w:tc>
        <w:tc>
          <w:tcPr>
            <w:tcW w:w="5400" w:type="dxa"/>
            <w:vAlign w:val="bottom"/>
          </w:tcPr>
          <w:p>
            <w:pPr>
              <w:jc w:val="center"/>
              <w:ind w:left="2050"/>
              <w:spacing w:after="0"/>
              <w:rPr>
                <w:sz w:val="20"/>
                <w:szCs w:val="20"/>
                <w:color w:val="auto"/>
              </w:rPr>
            </w:pPr>
            <w:r>
              <w:rPr>
                <w:rFonts w:ascii="Arial" w:cs="Arial" w:eastAsia="Arial" w:hAnsi="Arial"/>
                <w:sz w:val="18"/>
                <w:szCs w:val="18"/>
                <w:b w:val="1"/>
                <w:bCs w:val="1"/>
                <w:color w:val="auto"/>
                <w:w w:val="92"/>
              </w:rPr>
              <w:t>Level 38</w:t>
            </w:r>
          </w:p>
        </w:tc>
      </w:tr>
      <w:tr>
        <w:trPr>
          <w:trHeight w:val="216"/>
        </w:trPr>
        <w:tc>
          <w:tcPr>
            <w:tcW w:w="352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650 Page Mill Road</w:t>
            </w:r>
          </w:p>
        </w:tc>
        <w:tc>
          <w:tcPr>
            <w:tcW w:w="5400" w:type="dxa"/>
            <w:vAlign w:val="bottom"/>
          </w:tcPr>
          <w:p>
            <w:pPr>
              <w:jc w:val="center"/>
              <w:ind w:left="2050"/>
              <w:spacing w:after="0"/>
              <w:rPr>
                <w:sz w:val="20"/>
                <w:szCs w:val="20"/>
                <w:color w:val="auto"/>
              </w:rPr>
            </w:pPr>
            <w:r>
              <w:rPr>
                <w:rFonts w:ascii="Arial" w:cs="Arial" w:eastAsia="Arial" w:hAnsi="Arial"/>
                <w:sz w:val="18"/>
                <w:szCs w:val="18"/>
                <w:b w:val="1"/>
                <w:bCs w:val="1"/>
                <w:color w:val="auto"/>
                <w:w w:val="89"/>
              </w:rPr>
              <w:t>55 Collins Street</w:t>
            </w:r>
          </w:p>
        </w:tc>
      </w:tr>
      <w:tr>
        <w:trPr>
          <w:trHeight w:val="216"/>
        </w:trPr>
        <w:tc>
          <w:tcPr>
            <w:tcW w:w="352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Palo Alto, California 94304</w:t>
            </w:r>
          </w:p>
        </w:tc>
        <w:tc>
          <w:tcPr>
            <w:tcW w:w="5400" w:type="dxa"/>
            <w:vAlign w:val="bottom"/>
          </w:tcPr>
          <w:p>
            <w:pPr>
              <w:jc w:val="center"/>
              <w:ind w:left="2050"/>
              <w:spacing w:after="0"/>
              <w:rPr>
                <w:sz w:val="20"/>
                <w:szCs w:val="20"/>
                <w:color w:val="auto"/>
              </w:rPr>
            </w:pPr>
            <w:r>
              <w:rPr>
                <w:rFonts w:ascii="Arial" w:cs="Arial" w:eastAsia="Arial" w:hAnsi="Arial"/>
                <w:sz w:val="18"/>
                <w:szCs w:val="18"/>
                <w:b w:val="1"/>
                <w:bCs w:val="1"/>
                <w:color w:val="auto"/>
                <w:w w:val="92"/>
              </w:rPr>
              <w:t>Melbourne 3000</w:t>
            </w:r>
          </w:p>
        </w:tc>
      </w:tr>
      <w:tr>
        <w:trPr>
          <w:trHeight w:val="234"/>
        </w:trPr>
        <w:tc>
          <w:tcPr>
            <w:tcW w:w="352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(650) 493-9300</w:t>
            </w:r>
          </w:p>
        </w:tc>
        <w:tc>
          <w:tcPr>
            <w:tcW w:w="5400" w:type="dxa"/>
            <w:vAlign w:val="bottom"/>
          </w:tcPr>
          <w:p>
            <w:pPr>
              <w:jc w:val="center"/>
              <w:ind w:left="2070"/>
              <w:spacing w:after="0"/>
              <w:rPr>
                <w:sz w:val="20"/>
                <w:szCs w:val="20"/>
                <w:color w:val="auto"/>
              </w:rPr>
            </w:pPr>
            <w:r>
              <w:rPr>
                <w:rFonts w:ascii="Arial" w:cs="Arial" w:eastAsia="Arial" w:hAnsi="Arial"/>
                <w:sz w:val="18"/>
                <w:szCs w:val="18"/>
                <w:b w:val="1"/>
                <w:bCs w:val="1"/>
                <w:color w:val="auto"/>
                <w:w w:val="93"/>
              </w:rPr>
              <w:t>Australia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3021965</wp:posOffset>
            </wp:positionH>
            <wp:positionV relativeFrom="page">
              <wp:posOffset>311785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240030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60" w:type="dxa"/>
            <w:vAlign w:val="bottom"/>
            <w:gridSpan w:val="2"/>
          </w:tcPr>
          <w:p>
            <w:pPr>
              <w:spacing w:after="0"/>
              <w:rPr>
                <w:sz w:val="20"/>
                <w:szCs w:val="20"/>
                <w:color w:val="auto"/>
              </w:rPr>
            </w:pPr>
            <w:r>
              <w:rPr>
                <w:rFonts w:ascii="Arial" w:cs="Arial" w:eastAsia="Arial" w:hAnsi="Arial"/>
                <w:sz w:val="18"/>
                <w:szCs w:val="18"/>
                <w:color w:val="auto"/>
                <w:w w:val="92"/>
              </w:rPr>
              <w:t>Large accelerated filer</w:t>
            </w:r>
          </w:p>
        </w:tc>
        <w:tc>
          <w:tcPr>
            <w:tcW w:w="2860" w:type="dxa"/>
            <w:vAlign w:val="bottom"/>
            <w:gridSpan w:val="2"/>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80" w:type="dxa"/>
            <w:vAlign w:val="bottom"/>
            <w:gridSpan w:val="2"/>
          </w:tcPr>
          <w:p>
            <w:pPr>
              <w:ind w:left="1060"/>
              <w:spacing w:after="0"/>
              <w:rPr>
                <w:sz w:val="20"/>
                <w:szCs w:val="20"/>
                <w:color w:val="auto"/>
              </w:rPr>
            </w:pPr>
            <w:r>
              <w:rPr>
                <w:rFonts w:ascii="Arial" w:cs="Arial" w:eastAsia="Arial" w:hAnsi="Arial"/>
                <w:sz w:val="18"/>
                <w:szCs w:val="18"/>
                <w:color w:val="auto"/>
                <w:w w:val="92"/>
              </w:rPr>
              <w:t>Accelerated filer</w:t>
            </w:r>
          </w:p>
        </w:tc>
        <w:tc>
          <w:tcPr>
            <w:tcW w:w="1120" w:type="dxa"/>
            <w:vAlign w:val="bottom"/>
          </w:tcPr>
          <w:p>
            <w:pPr>
              <w:spacing w:after="0"/>
              <w:rPr>
                <w:sz w:val="24"/>
                <w:szCs w:val="24"/>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color w:val="auto"/>
                <w:w w:val="98"/>
              </w:rPr>
              <w:t>Non-accelerated filer</w:t>
            </w:r>
          </w:p>
        </w:tc>
        <w:tc>
          <w:tcPr>
            <w:tcW w:w="4560" w:type="dxa"/>
            <w:vAlign w:val="bottom"/>
            <w:gridSpan w:val="3"/>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0" w:type="dxa"/>
            <w:vAlign w:val="bottom"/>
            <w:gridSpan w:val="3"/>
          </w:tcPr>
          <w:p>
            <w:pPr>
              <w:ind w:left="106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40" w:type="dxa"/>
            <w:vAlign w:val="bottom"/>
            <w:gridSpan w:val="5"/>
          </w:tcPr>
          <w:p>
            <w:pPr>
              <w:ind w:left="2320"/>
              <w:spacing w:after="0"/>
              <w:rPr>
                <w:sz w:val="20"/>
                <w:szCs w:val="20"/>
                <w:color w:val="auto"/>
              </w:rPr>
            </w:pPr>
            <w:r>
              <w:rPr>
                <w:rFonts w:ascii="Arial" w:cs="Arial" w:eastAsia="Arial" w:hAnsi="Arial"/>
                <w:sz w:val="18"/>
                <w:szCs w:val="18"/>
                <w:b w:val="1"/>
                <w:bCs w:val="1"/>
                <w:color w:val="auto"/>
              </w:rPr>
              <w:t>CALCULATION OF REGISTRATION FEE</w:t>
            </w: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gridSpan w:val="2"/>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80" w:type="dxa"/>
            <w:vAlign w:val="bottom"/>
            <w:tcBorders>
              <w:right w:val="single" w:sz="8" w:color="auto"/>
            </w:tcBorders>
            <w:gridSpan w:val="2"/>
          </w:tcPr>
          <w:p>
            <w:pPr>
              <w:jc w:val="center"/>
              <w:ind w:left="4"/>
              <w:spacing w:after="0" w:line="106" w:lineRule="exact"/>
              <w:rPr>
                <w:sz w:val="20"/>
                <w:szCs w:val="20"/>
                <w:color w:val="auto"/>
              </w:rPr>
            </w:pPr>
            <w:r>
              <w:rPr>
                <w:rFonts w:ascii="Arial" w:cs="Arial" w:eastAsia="Arial" w:hAnsi="Arial"/>
                <w:sz w:val="12"/>
                <w:szCs w:val="12"/>
                <w:b w:val="1"/>
                <w:bCs w:val="1"/>
                <w:color w:val="auto"/>
              </w:rPr>
              <w:t>Proposed</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gridSpan w:val="2"/>
          </w:tcPr>
          <w:p>
            <w:pPr>
              <w:jc w:val="center"/>
              <w:ind w:left="24"/>
              <w:spacing w:after="0" w:line="149" w:lineRule="exact"/>
              <w:rPr>
                <w:sz w:val="20"/>
                <w:szCs w:val="20"/>
                <w:color w:val="auto"/>
              </w:rPr>
            </w:pPr>
            <w:r>
              <w:rPr>
                <w:rFonts w:ascii="Arial" w:cs="Arial" w:eastAsia="Arial" w:hAnsi="Arial"/>
                <w:sz w:val="14"/>
                <w:szCs w:val="14"/>
                <w:b w:val="1"/>
                <w:bCs w:val="1"/>
                <w:color w:val="auto"/>
                <w:w w:val="99"/>
              </w:rPr>
              <w:t>Maximum</w:t>
            </w:r>
          </w:p>
        </w:tc>
        <w:tc>
          <w:tcPr>
            <w:tcW w:w="1940" w:type="dxa"/>
            <w:vAlign w:val="bottom"/>
            <w:tcBorders>
              <w:right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20" w:type="dxa"/>
            <w:vAlign w:val="bottom"/>
            <w:tcBorders>
              <w:right w:val="single" w:sz="8" w:color="auto"/>
            </w:tcBorders>
          </w:tcPr>
          <w:p>
            <w:pPr>
              <w:jc w:val="center"/>
              <w:ind w:right="1577"/>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40" w:type="dxa"/>
            <w:vAlign w:val="bottom"/>
          </w:tcPr>
          <w:p>
            <w:pPr>
              <w:spacing w:after="0"/>
              <w:rPr>
                <w:sz w:val="13"/>
                <w:szCs w:val="13"/>
                <w:color w:val="auto"/>
              </w:rPr>
            </w:pPr>
          </w:p>
        </w:tc>
        <w:tc>
          <w:tcPr>
            <w:tcW w:w="17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80" w:type="dxa"/>
            <w:vAlign w:val="bottom"/>
            <w:tcBorders>
              <w:right w:val="single" w:sz="8" w:color="auto"/>
            </w:tcBorders>
            <w:gridSpan w:val="2"/>
          </w:tcPr>
          <w:p>
            <w:pPr>
              <w:jc w:val="center"/>
              <w:ind w:left="4"/>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19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Maximum Aggregate</w:t>
            </w:r>
          </w:p>
        </w:tc>
        <w:tc>
          <w:tcPr>
            <w:tcW w:w="34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820" w:type="dxa"/>
            <w:vAlign w:val="bottom"/>
            <w:tcBorders>
              <w:bottom w:val="single" w:sz="8" w:color="auto"/>
              <w:right w:val="single" w:sz="8" w:color="auto"/>
            </w:tcBorders>
          </w:tcPr>
          <w:p>
            <w:pPr>
              <w:jc w:val="center"/>
              <w:ind w:right="1577"/>
              <w:spacing w:after="0"/>
              <w:rPr>
                <w:sz w:val="20"/>
                <w:szCs w:val="20"/>
                <w:color w:val="auto"/>
              </w:rPr>
            </w:pPr>
            <w:r>
              <w:rPr>
                <w:rFonts w:ascii="Arial" w:cs="Arial" w:eastAsia="Arial" w:hAnsi="Arial"/>
                <w:sz w:val="14"/>
                <w:szCs w:val="14"/>
                <w:b w:val="1"/>
                <w:bCs w:val="1"/>
                <w:color w:val="auto"/>
                <w:w w:val="91"/>
              </w:rPr>
              <w:t>to be Registered</w:t>
            </w:r>
          </w:p>
        </w:tc>
        <w:tc>
          <w:tcPr>
            <w:tcW w:w="40" w:type="dxa"/>
            <w:vAlign w:val="bottom"/>
            <w:tcBorders>
              <w:bottom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580" w:type="dxa"/>
            <w:vAlign w:val="bottom"/>
            <w:tcBorders>
              <w:bottom w:val="single" w:sz="8" w:color="auto"/>
              <w:right w:val="single" w:sz="8" w:color="auto"/>
            </w:tcBorders>
            <w:gridSpan w:val="2"/>
          </w:tcPr>
          <w:p>
            <w:pPr>
              <w:jc w:val="center"/>
              <w:ind w:left="4"/>
              <w:spacing w:after="0"/>
              <w:rPr>
                <w:sz w:val="20"/>
                <w:szCs w:val="20"/>
                <w:color w:val="auto"/>
              </w:rPr>
            </w:pPr>
            <w:r>
              <w:rPr>
                <w:rFonts w:ascii="Arial" w:cs="Arial" w:eastAsia="Arial" w:hAnsi="Arial"/>
                <w:sz w:val="14"/>
                <w:szCs w:val="14"/>
                <w:b w:val="1"/>
                <w:bCs w:val="1"/>
                <w:color w:val="auto"/>
                <w:w w:val="94"/>
              </w:rPr>
              <w:t>Per Share</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6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89"/>
              </w:rPr>
              <w:t>Ordinary shares, no par value, reserved for issuance pursuant</w:t>
            </w:r>
          </w:p>
        </w:tc>
        <w:tc>
          <w:tcPr>
            <w:tcW w:w="40" w:type="dxa"/>
            <w:vAlign w:val="bottom"/>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2"/>
              </w:rPr>
              <w:t>to the Employee Share Option Plan and the Loan Funded</w:t>
            </w:r>
          </w:p>
        </w:tc>
        <w:tc>
          <w:tcPr>
            <w:tcW w:w="4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Share Plan(2)</w:t>
            </w:r>
          </w:p>
        </w:tc>
        <w:tc>
          <w:tcPr>
            <w:tcW w:w="282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22,911,159(3)</w:t>
            </w:r>
          </w:p>
        </w:tc>
        <w:tc>
          <w:tcPr>
            <w:tcW w:w="1580" w:type="dxa"/>
            <w:vAlign w:val="bottom"/>
            <w:tcBorders>
              <w:bottom w:val="single" w:sz="8" w:color="auto"/>
              <w:right w:val="single" w:sz="8" w:color="auto"/>
            </w:tcBorders>
            <w:gridSpan w:val="2"/>
          </w:tcPr>
          <w:p>
            <w:pPr>
              <w:jc w:val="center"/>
              <w:ind w:left="4"/>
              <w:spacing w:after="0"/>
              <w:rPr>
                <w:sz w:val="20"/>
                <w:szCs w:val="20"/>
                <w:color w:val="auto"/>
              </w:rPr>
            </w:pPr>
            <w:r>
              <w:rPr>
                <w:rFonts w:ascii="Arial" w:cs="Arial" w:eastAsia="Arial" w:hAnsi="Arial"/>
                <w:sz w:val="18"/>
                <w:szCs w:val="18"/>
                <w:color w:val="auto"/>
                <w:w w:val="93"/>
              </w:rPr>
              <w:t>US$4.27(4)</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US$97,830,648.93</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US$9,851.55</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6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89"/>
              </w:rPr>
              <w:t>Ordinary shares, no par value, reserved for issuance pursuant</w:t>
            </w:r>
          </w:p>
        </w:tc>
        <w:tc>
          <w:tcPr>
            <w:tcW w:w="40" w:type="dxa"/>
            <w:vAlign w:val="bottom"/>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2"/>
              </w:rPr>
              <w:t>to the Employee Share Option Plan and the Loan Funded</w:t>
            </w:r>
          </w:p>
        </w:tc>
        <w:tc>
          <w:tcPr>
            <w:tcW w:w="4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Share Plan(2)</w:t>
            </w:r>
          </w:p>
        </w:tc>
        <w:tc>
          <w:tcPr>
            <w:tcW w:w="282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15,000,000(5)</w:t>
            </w:r>
          </w:p>
        </w:tc>
        <w:tc>
          <w:tcPr>
            <w:tcW w:w="1580" w:type="dxa"/>
            <w:vAlign w:val="bottom"/>
            <w:tcBorders>
              <w:bottom w:val="single" w:sz="8" w:color="auto"/>
              <w:right w:val="single" w:sz="8" w:color="auto"/>
            </w:tcBorders>
            <w:gridSpan w:val="2"/>
          </w:tcPr>
          <w:p>
            <w:pPr>
              <w:jc w:val="center"/>
              <w:ind w:left="4"/>
              <w:spacing w:after="0"/>
              <w:rPr>
                <w:sz w:val="20"/>
                <w:szCs w:val="20"/>
                <w:color w:val="auto"/>
              </w:rPr>
            </w:pPr>
            <w:r>
              <w:rPr>
                <w:rFonts w:ascii="Arial" w:cs="Arial" w:eastAsia="Arial" w:hAnsi="Arial"/>
                <w:sz w:val="18"/>
                <w:szCs w:val="18"/>
                <w:color w:val="auto"/>
                <w:w w:val="93"/>
              </w:rPr>
              <w:t>US$1.83(6)</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US$27,450,000.00</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US$2,764.22</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8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8"/>
                <w:szCs w:val="18"/>
                <w:color w:val="auto"/>
              </w:rPr>
              <w:t>37,911,159</w:t>
            </w: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US$125,280,648.93</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US$12,615.77</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4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this Registration Statement shall also cover any additional fully paid ordinary shares (the “</w:t>
      </w:r>
      <w:r>
        <w:rPr>
          <w:rFonts w:ascii="Arial" w:cs="Arial" w:eastAsia="Arial" w:hAnsi="Arial"/>
          <w:sz w:val="18"/>
          <w:szCs w:val="18"/>
          <w:b w:val="1"/>
          <w:bCs w:val="1"/>
          <w:color w:val="auto"/>
        </w:rPr>
        <w:t>Ordinary Shares</w:t>
      </w:r>
      <w:r>
        <w:rPr>
          <w:rFonts w:ascii="Arial" w:cs="Arial" w:eastAsia="Arial" w:hAnsi="Arial"/>
          <w:sz w:val="18"/>
          <w:szCs w:val="18"/>
          <w:color w:val="auto"/>
        </w:rPr>
        <w:t>”) of Mesoblast Limited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Registrant</w:t>
      </w:r>
      <w:r>
        <w:rPr>
          <w:rFonts w:ascii="Arial" w:cs="Arial" w:eastAsia="Arial" w:hAnsi="Arial"/>
          <w:sz w:val="18"/>
          <w:szCs w:val="18"/>
          <w:color w:val="auto"/>
        </w:rPr>
        <w:t>”) that may be offered and issued in connection with any stock dividend, stock split, recapitalization or other similar transaction effected without receipt of consideration that increases the number of the Registrant’s outstanding Ordinary Shares.</w:t>
      </w:r>
    </w:p>
    <w:p>
      <w:pPr>
        <w:spacing w:after="0" w:line="1"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Ordinary Shares may be represented by American Depositary Shares of the Registrant (the “</w:t>
      </w:r>
      <w:r>
        <w:rPr>
          <w:rFonts w:ascii="Arial" w:cs="Arial" w:eastAsia="Arial" w:hAnsi="Arial"/>
          <w:sz w:val="18"/>
          <w:szCs w:val="18"/>
          <w:b w:val="1"/>
          <w:bCs w:val="1"/>
          <w:color w:val="auto"/>
        </w:rPr>
        <w:t>ADSs</w:t>
      </w:r>
      <w:r>
        <w:rPr>
          <w:rFonts w:ascii="Arial" w:cs="Arial" w:eastAsia="Arial" w:hAnsi="Arial"/>
          <w:sz w:val="18"/>
          <w:szCs w:val="18"/>
          <w:color w:val="auto"/>
        </w:rPr>
        <w:t>”), each of which represents five Ordinary Shares. The Registrant’s ADSs issuable upon deposit of the Ordinary Shares registered hereby have been registered under a separate registration statement on Form F-6 (File No. 333-207378).</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Ordinary Shares issuable upon exercise of outstanding options granted under the Employee Share Option Plan (the “</w:t>
      </w:r>
      <w:r>
        <w:rPr>
          <w:rFonts w:ascii="Arial" w:cs="Arial" w:eastAsia="Arial" w:hAnsi="Arial"/>
          <w:sz w:val="18"/>
          <w:szCs w:val="18"/>
          <w:b w:val="1"/>
          <w:bCs w:val="1"/>
          <w:color w:val="auto"/>
        </w:rPr>
        <w:t>ESOP</w:t>
      </w:r>
      <w:r>
        <w:rPr>
          <w:rFonts w:ascii="Arial" w:cs="Arial" w:eastAsia="Arial" w:hAnsi="Arial"/>
          <w:sz w:val="18"/>
          <w:szCs w:val="18"/>
          <w:color w:val="auto"/>
        </w:rPr>
        <w:t>”) and the Loan Funded Share Plan (“</w:t>
      </w:r>
      <w:r>
        <w:rPr>
          <w:rFonts w:ascii="Arial" w:cs="Arial" w:eastAsia="Arial" w:hAnsi="Arial"/>
          <w:sz w:val="18"/>
          <w:szCs w:val="18"/>
          <w:b w:val="1"/>
          <w:bCs w:val="1"/>
          <w:color w:val="auto"/>
        </w:rPr>
        <w:t>LFSP</w:t>
      </w:r>
      <w:r>
        <w:rPr>
          <w:rFonts w:ascii="Arial" w:cs="Arial" w:eastAsia="Arial" w:hAnsi="Arial"/>
          <w:sz w:val="18"/>
          <w:szCs w:val="18"/>
          <w:color w:val="auto"/>
        </w:rPr>
        <w:t>”).</w:t>
      </w:r>
    </w:p>
    <w:p>
      <w:pPr>
        <w:ind w:left="460" w:right="10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US$4.27, the weighted average price per Ordinary Share of the exercise price of such outstanding options.</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Ordinary Shares reserved for issuance pursuant to future option grants under the ESOP and LFSP.</w:t>
      </w:r>
    </w:p>
    <w:p>
      <w:pPr>
        <w:spacing w:after="0" w:line="9"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and Rule 457(c) solely for the purpose of calculating the registration fee on the basis of US$1.83, the average of the high and low prices for the Registrant’s ADSs as reported on the NASDAQ Global Select Market on April 19, 2016 divided by five, the then Ordinary Share-to-ADS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ind w:right="60" w:firstLine="913"/>
        <w:spacing w:after="0" w:line="261"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on Form S-8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in accordance with the provisions of Rule 428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introductory note to</w:t>
      </w:r>
      <w:r>
        <w:rPr>
          <w:rFonts w:ascii="Arial" w:cs="Arial" w:eastAsia="Arial" w:hAnsi="Arial"/>
          <w:sz w:val="18"/>
          <w:szCs w:val="18"/>
          <w:b w:val="1"/>
          <w:bCs w:val="1"/>
          <w:color w:val="auto"/>
        </w:rPr>
        <w:t xml:space="preserve"> </w:t>
      </w:r>
      <w:r>
        <w:rPr>
          <w:rFonts w:ascii="Arial" w:cs="Arial" w:eastAsia="Arial" w:hAnsi="Arial"/>
          <w:sz w:val="18"/>
          <w:szCs w:val="18"/>
          <w:color w:val="auto"/>
        </w:rPr>
        <w:t>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Registrant hereby incorporates by reference into this Registration Statement the following documents previously filed with the Securities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w:t>
      </w:r>
    </w:p>
    <w:p>
      <w:pPr>
        <w:spacing w:after="0" w:line="116" w:lineRule="exact"/>
        <w:rPr>
          <w:sz w:val="20"/>
          <w:szCs w:val="20"/>
          <w:color w:val="auto"/>
        </w:rPr>
      </w:pPr>
    </w:p>
    <w:p>
      <w:pPr>
        <w:ind w:left="900" w:right="30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prospectus filed pursuant to Rule 424(b) filed with the Commission on November 13, 2015, which includes audited financial statements for the year ended June 30, 2015;</w:t>
      </w:r>
    </w:p>
    <w:p>
      <w:pPr>
        <w:spacing w:after="0" w:line="71" w:lineRule="exact"/>
        <w:rPr>
          <w:rFonts w:ascii="Arial" w:cs="Arial" w:eastAsia="Arial" w:hAnsi="Arial"/>
          <w:sz w:val="18"/>
          <w:szCs w:val="18"/>
          <w:color w:val="auto"/>
        </w:rPr>
      </w:pPr>
    </w:p>
    <w:p>
      <w:pPr>
        <w:ind w:left="900" w:right="140" w:hanging="446"/>
        <w:spacing w:after="0" w:line="347"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all other reports filed pursuant to Section 13(a) or 15(d) of the Securities Exchange Act of 1934, as amended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since June 30, 2015 (other than information deemed to have been “furnished” rather than “filed” in accordance with the SEC’s rules); and</w:t>
      </w:r>
    </w:p>
    <w:p>
      <w:pPr>
        <w:spacing w:after="0" w:line="25" w:lineRule="exact"/>
        <w:rPr>
          <w:rFonts w:ascii="Arial" w:cs="Arial" w:eastAsia="Arial" w:hAnsi="Arial"/>
          <w:sz w:val="16"/>
          <w:szCs w:val="16"/>
          <w:color w:val="auto"/>
        </w:rPr>
      </w:pPr>
    </w:p>
    <w:p>
      <w:pPr>
        <w:ind w:left="900" w:right="40" w:hanging="446"/>
        <w:spacing w:after="0" w:line="25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Ordinary Shares contained in the Registrant’s Registration Statement on Form 8-A (File No. 001- 37626) filed with the Commission on November 9, 2015, pursuant to Section 12(b) of the Exchange Act, which incorporates by reference the description of the Registrant’s Ordinary Shares set forth in the Registrant’s Registration Statement on Form F-1 (Registration No. 333- 207719), as amended, originally filed with the Commission on November 2, 2015, including any amendment or report filed for the purpose of updating such description.</w:t>
      </w:r>
    </w:p>
    <w:p>
      <w:pPr>
        <w:spacing w:after="0" w:line="18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Except as set forth below, there is no provision in any contract, arrangement or statute under which any director, secretary or other officer of the Registrant is insured or indemnified in any manner against any liability which he/she may incur in his/her capacity as such.</w:t>
      </w:r>
    </w:p>
    <w:p>
      <w:pPr>
        <w:sectPr>
          <w:pgSz w:w="11900" w:h="16838" w:orient="portrait"/>
          <w:cols w:equalWidth="0" w:num="1">
            <w:col w:w="11420"/>
          </w:cols>
          <w:pgMar w:left="240" w:top="270" w:right="239" w:bottom="1440" w:gutter="0" w:footer="0" w:header="0"/>
        </w:sectPr>
      </w:pPr>
    </w:p>
    <w:bookmarkStart w:id="3" w:name="page4"/>
    <w:bookmarkEnd w:id="3"/>
    <w:p>
      <w:pPr>
        <w:jc w:val="both"/>
        <w:ind w:right="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our Constitution, to the extent permitted by the Australian Corporations Act 2001 (Cth) (“Corporations Act”) we may indemnify or insure any person who is or has been our or any of our subsidiaries’ officer, which indemnity or insurance policy may be in such terms as the directors approve and, in particular, may apply to acts or omissions prior to or after the time of entering into the indemnity or policy. Under Australian law, an “officer” includes any director.</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entered into Deeds of Indemnity, Insurance and Access (“</w:t>
      </w:r>
      <w:r>
        <w:rPr>
          <w:rFonts w:ascii="Arial" w:cs="Arial" w:eastAsia="Arial" w:hAnsi="Arial"/>
          <w:sz w:val="18"/>
          <w:szCs w:val="18"/>
          <w:b w:val="1"/>
          <w:bCs w:val="1"/>
          <w:color w:val="auto"/>
        </w:rPr>
        <w:t>Indemnity Deeds</w:t>
      </w:r>
      <w:r>
        <w:rPr>
          <w:rFonts w:ascii="Arial" w:cs="Arial" w:eastAsia="Arial" w:hAnsi="Arial"/>
          <w:sz w:val="18"/>
          <w:szCs w:val="18"/>
          <w:color w:val="auto"/>
        </w:rPr>
        <w:t>”) with each director.</w:t>
      </w:r>
    </w:p>
    <w:p>
      <w:pPr>
        <w:spacing w:after="0" w:line="229"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Under the Indemnity Deeds, we have agreed to indemnify (to the maximum extent permitted under Australian law and subject to certain specified exceptions) each director and certain of our officers against all liabilities incurred in their capacity as our or our subsidiaries’ director or officer and any and all legal costs incurred by such director or officer in defending an action for a liability incurred in their capacity as our or our subsidiaries’ director or officer. The Indemnity Deeds provide that the indemnities are unlimited as to amount, continuous and irrevocable.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Separately, we have obtained insurance for each of our directors, as required by the Indemnity Deeds, and each of our officers.</w:t>
      </w:r>
    </w:p>
    <w:p>
      <w:pPr>
        <w:spacing w:after="0" w:line="22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There are certain provisions of the Australian Corporations Act that restrict the Registrant from indemnifying directors and certain officers in certain circumstances. These are described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Law</w:t>
      </w:r>
    </w:p>
    <w:p>
      <w:pPr>
        <w:spacing w:after="0" w:line="121"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Section 199A of the Australian Corporations Act provides that a Registrant or a related body corporate of the Registrant must not indemnify a person (whether by agreement or by making a payment and whether directly or through an interposed entity) against any of the following liabilities incurred as an officer or auditor of the Registrant:</w:t>
      </w:r>
    </w:p>
    <w:p>
      <w:pPr>
        <w:spacing w:after="0" w:line="87"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liability owed to the Registrant or a related body corporate;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liability for a pecuniary penalty order or compensation order under specified provisions of the Australian Corporations Act;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liability that is owed to someone other than the Registrant or a related body corporate and did not arise out of conduct in good faith; or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costs incurred in defending an action for a liability incurred as an officer or director of the company if the costs are incurred:</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defending or resisting proceedings in which the person is found to have a liability for which they could not be indemnified as set out above; 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defending or resisting criminal proceedings in which the person is found guilty; or</w:t>
      </w:r>
    </w:p>
    <w:p>
      <w:pPr>
        <w:spacing w:after="0" w:line="130" w:lineRule="exact"/>
        <w:rPr>
          <w:rFonts w:ascii="Arial" w:cs="Arial" w:eastAsia="Arial" w:hAnsi="Arial"/>
          <w:sz w:val="18"/>
          <w:szCs w:val="18"/>
          <w:color w:val="auto"/>
        </w:rPr>
      </w:pPr>
    </w:p>
    <w:p>
      <w:pPr>
        <w:ind w:left="1480" w:hanging="446"/>
        <w:spacing w:after="0" w:line="312" w:lineRule="auto"/>
        <w:tabs>
          <w:tab w:leader="none" w:pos="1480" w:val="left"/>
        </w:tabs>
        <w:numPr>
          <w:ilvl w:val="1"/>
          <w:numId w:val="3"/>
        </w:numPr>
        <w:rPr>
          <w:rFonts w:ascii="Arial" w:cs="Arial" w:eastAsia="Arial" w:hAnsi="Arial"/>
          <w:sz w:val="16"/>
          <w:szCs w:val="16"/>
          <w:color w:val="auto"/>
        </w:rPr>
      </w:pPr>
      <w:r>
        <w:rPr>
          <w:rFonts w:ascii="Arial" w:cs="Arial" w:eastAsia="Arial" w:hAnsi="Arial"/>
          <w:sz w:val="16"/>
          <w:szCs w:val="16"/>
          <w:color w:val="auto"/>
        </w:rPr>
        <w:t>in defending or resisting proceedings brought by the Australian Securities and Investments Commission (ASIC) or a liquidator for a court order if the grounds for making the order are found by the court to have been established (this does not apply to costs incurred in responding to actions taken by ASIC or a liquidator as part of an investigation before commencing proceedings for the court order); or</w:t>
      </w:r>
    </w:p>
    <w:p>
      <w:pPr>
        <w:spacing w:after="0" w:line="52" w:lineRule="exact"/>
        <w:rPr>
          <w:rFonts w:ascii="Arial" w:cs="Arial" w:eastAsia="Arial" w:hAnsi="Arial"/>
          <w:sz w:val="16"/>
          <w:szCs w:val="16"/>
          <w:color w:val="auto"/>
        </w:rPr>
      </w:pPr>
    </w:p>
    <w:p>
      <w:pPr>
        <w:ind w:left="1480" w:hanging="446"/>
        <w:spacing w:after="0"/>
        <w:tabs>
          <w:tab w:leader="none" w:pos="148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 connection with proceedings for relief to the person under the Australian Corporations Act in which the court denies the relief.</w:t>
      </w:r>
    </w:p>
    <w:p>
      <w:pPr>
        <w:spacing w:after="0" w:line="237" w:lineRule="exact"/>
        <w:rPr>
          <w:sz w:val="20"/>
          <w:szCs w:val="20"/>
          <w:color w:val="auto"/>
        </w:rPr>
      </w:pPr>
    </w:p>
    <w:p>
      <w:pPr>
        <w:ind w:right="100" w:firstLine="913"/>
        <w:spacing w:after="0" w:line="342" w:lineRule="auto"/>
        <w:rPr>
          <w:sz w:val="20"/>
          <w:szCs w:val="20"/>
          <w:color w:val="auto"/>
        </w:rPr>
      </w:pPr>
      <w:r>
        <w:rPr>
          <w:rFonts w:ascii="Arial" w:cs="Arial" w:eastAsia="Arial" w:hAnsi="Arial"/>
          <w:sz w:val="16"/>
          <w:szCs w:val="16"/>
          <w:color w:val="auto"/>
        </w:rPr>
        <w:t>Section 199B of the Australian Corporations Act provides that a Registrant or a related body corporate must not pay, or agree to pay, a premium for a contract insuring a person who is or has been an officer or auditor of the Registrant against a liability (other than one for legal costs) arising out of:</w:t>
      </w:r>
    </w:p>
    <w:p>
      <w:pPr>
        <w:spacing w:after="0" w:line="29"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involving a willful breach of duty in relation to the Registrant; or</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contravention of the director, secretary, officer, or employee’s duties under the Australian Corporations Act not to improperly use their position or make improper use of information obtained as a director, secretary, officer, or employee to gain an advantage for themselves or someone else or cause detriment to the Registrant.</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purpose of Australian law as set out above, an “officer” of a company includes (but is not limited to):</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director or secretary;</w:t>
      </w:r>
    </w:p>
    <w:p>
      <w:pPr>
        <w:sectPr>
          <w:pgSz w:w="11900" w:h="16838" w:orient="portrait"/>
          <w:cols w:equalWidth="0" w:num="1">
            <w:col w:w="11400"/>
          </w:cols>
          <w:pgMar w:left="240" w:top="274" w:right="259" w:bottom="1440" w:gutter="0" w:footer="0" w:header="0"/>
        </w:sectPr>
      </w:pPr>
    </w:p>
    <w:bookmarkStart w:id="4" w:name="page5"/>
    <w:bookmarkEnd w:id="4"/>
    <w:p>
      <w:pPr>
        <w:ind w:left="900" w:hanging="325"/>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person who makes, or participates in making, decisions that affect the whole, or a substantial part, of the business of the Registrant;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person who has the capacity to significantly affect the Registrant’s financial standing; and</w:t>
      </w:r>
    </w:p>
    <w:p>
      <w:pPr>
        <w:spacing w:after="0" w:line="130"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person in accordance with whose instructions or wishes the directors of the Registrant are accustomed to act (excluding advice given by the person in the proper performance of functions attaching to the person’s professional capacity or their business relationship with the directors of the Registrant).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See Exhibit Index immediately following the Signature Pages.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80" w:right="40" w:hanging="567"/>
        <w:spacing w:after="0" w:line="272" w:lineRule="auto"/>
        <w:tabs>
          <w:tab w:leader="none" w:pos="1480" w:val="left"/>
        </w:tabs>
        <w:numPr>
          <w:ilvl w:val="2"/>
          <w:numId w:val="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3" w:lineRule="exact"/>
        <w:rPr>
          <w:rFonts w:ascii="Arial" w:cs="Arial" w:eastAsia="Arial" w:hAnsi="Arial"/>
          <w:sz w:val="17"/>
          <w:szCs w:val="17"/>
          <w:color w:val="auto"/>
        </w:rPr>
      </w:pPr>
    </w:p>
    <w:p>
      <w:pPr>
        <w:ind w:left="1480" w:right="100" w:hanging="567"/>
        <w:spacing w:after="0" w:line="277" w:lineRule="auto"/>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Commission by the Registrant pursuant to Section 13 or Section 15(d) of the Exchange Act that are incorporated by reference in this Registration Statement.</w:t>
      </w:r>
    </w:p>
    <w:p>
      <w:pPr>
        <w:spacing w:after="0" w:line="87" w:lineRule="exact"/>
        <w:rPr>
          <w:sz w:val="20"/>
          <w:szCs w:val="20"/>
          <w:color w:val="auto"/>
        </w:rPr>
      </w:pPr>
    </w:p>
    <w:p>
      <w:pPr>
        <w:jc w:val="both"/>
        <w:ind w:left="900" w:right="36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900" w:right="820" w:hanging="44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460" w:right="80" w:hanging="452"/>
        <w:spacing w:after="0" w:line="25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400"/>
          </w:cols>
          <w:pgMar w:left="240" w:top="274"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Melbourne, Australia on the 26th day of April, 2016.</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MESOBLAST LIMITED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Silviu Itescu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Silviu Itescu</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Director and Chief Executive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40" w:firstLine="913"/>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Brian Jamieson, Dr. Silviu Itescu, and Peter Howard, and each of them, as his true and lawful attorney in fact and agent with full power of substitution, for him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might or could do in person, hereby ratifying and confirming all that said attorney in fact, proxy and agent, or his substitute, may lawfully do or cause to be done by virtue hereof.</w:t>
      </w:r>
    </w:p>
    <w:p>
      <w:pPr>
        <w:spacing w:after="0" w:line="178"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1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Brian Jamieson</w:t>
            </w:r>
          </w:p>
        </w:tc>
        <w:tc>
          <w:tcPr>
            <w:tcW w:w="100" w:type="dxa"/>
            <w:vAlign w:val="bottom"/>
          </w:tcPr>
          <w:p>
            <w:pPr>
              <w:spacing w:after="0"/>
              <w:rPr>
                <w:sz w:val="24"/>
                <w:szCs w:val="24"/>
                <w:color w:val="auto"/>
              </w:rPr>
            </w:pPr>
          </w:p>
        </w:tc>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Chairman of the Board of Directors</w:t>
            </w:r>
          </w:p>
        </w:tc>
        <w:tc>
          <w:tcPr>
            <w:tcW w:w="1740" w:type="dxa"/>
            <w:vAlign w:val="bottom"/>
            <w:vMerge w:val="restart"/>
          </w:tcPr>
          <w:p>
            <w:pPr>
              <w:spacing w:after="0"/>
              <w:rPr>
                <w:sz w:val="20"/>
                <w:szCs w:val="20"/>
                <w:color w:val="auto"/>
              </w:rPr>
            </w:pPr>
            <w:r>
              <w:rPr>
                <w:rFonts w:ascii="Arial" w:cs="Arial" w:eastAsia="Arial" w:hAnsi="Arial"/>
                <w:sz w:val="18"/>
                <w:szCs w:val="18"/>
                <w:color w:val="auto"/>
              </w:rPr>
              <w:t>April 26, 2016</w:t>
            </w: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Brian Jamieson</w:t>
            </w:r>
          </w:p>
        </w:tc>
        <w:tc>
          <w:tcPr>
            <w:tcW w:w="10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Silviu Itescu</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w w:val="99"/>
              </w:rPr>
              <w:t>Executive Director and Chief Executive Officer (Principal Executive</w:t>
            </w:r>
          </w:p>
        </w:tc>
        <w:tc>
          <w:tcPr>
            <w:tcW w:w="1740" w:type="dxa"/>
            <w:vAlign w:val="bottom"/>
            <w:vMerge w:val="restart"/>
          </w:tcPr>
          <w:p>
            <w:pPr>
              <w:spacing w:after="0"/>
              <w:rPr>
                <w:sz w:val="20"/>
                <w:szCs w:val="20"/>
                <w:color w:val="auto"/>
              </w:rPr>
            </w:pPr>
            <w:r>
              <w:rPr>
                <w:rFonts w:ascii="Arial" w:cs="Arial" w:eastAsia="Arial" w:hAnsi="Arial"/>
                <w:sz w:val="18"/>
                <w:szCs w:val="18"/>
                <w:color w:val="auto"/>
              </w:rPr>
              <w:t>April 26, 2016</w:t>
            </w: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5"/>
              </w:rPr>
              <w:t>Silviu Itescu</w:t>
            </w:r>
          </w:p>
        </w:tc>
        <w:tc>
          <w:tcPr>
            <w:tcW w:w="100" w:type="dxa"/>
            <w:vAlign w:val="bottom"/>
          </w:tcPr>
          <w:p>
            <w:pPr>
              <w:spacing w:after="0"/>
              <w:rPr>
                <w:sz w:val="7"/>
                <w:szCs w:val="7"/>
                <w:color w:val="auto"/>
              </w:rPr>
            </w:pPr>
          </w:p>
        </w:tc>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Officer)</w:t>
            </w: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Paul Hodgkinson</w:t>
            </w:r>
          </w:p>
        </w:tc>
        <w:tc>
          <w:tcPr>
            <w:tcW w:w="100" w:type="dxa"/>
            <w:vAlign w:val="bottom"/>
          </w:tcPr>
          <w:p>
            <w:pPr>
              <w:spacing w:after="0"/>
              <w:rPr>
                <w:sz w:val="24"/>
                <w:szCs w:val="24"/>
                <w:color w:val="auto"/>
              </w:rPr>
            </w:pPr>
          </w:p>
        </w:tc>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740" w:type="dxa"/>
            <w:vAlign w:val="bottom"/>
            <w:vMerge w:val="restart"/>
          </w:tcPr>
          <w:p>
            <w:pPr>
              <w:spacing w:after="0"/>
              <w:rPr>
                <w:sz w:val="20"/>
                <w:szCs w:val="20"/>
                <w:color w:val="auto"/>
              </w:rPr>
            </w:pPr>
            <w:r>
              <w:rPr>
                <w:rFonts w:ascii="Arial" w:cs="Arial" w:eastAsia="Arial" w:hAnsi="Arial"/>
                <w:sz w:val="18"/>
                <w:szCs w:val="18"/>
                <w:color w:val="auto"/>
              </w:rPr>
              <w:t>April 26, 2016</w:t>
            </w: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1"/>
              </w:rPr>
              <w:t>Paul Hodgkinson</w:t>
            </w:r>
          </w:p>
        </w:tc>
        <w:tc>
          <w:tcPr>
            <w:tcW w:w="10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William Burns</w:t>
            </w:r>
          </w:p>
        </w:tc>
        <w:tc>
          <w:tcPr>
            <w:tcW w:w="100" w:type="dxa"/>
            <w:vAlign w:val="bottom"/>
          </w:tcPr>
          <w:p>
            <w:pPr>
              <w:spacing w:after="0"/>
              <w:rPr>
                <w:sz w:val="24"/>
                <w:szCs w:val="24"/>
                <w:color w:val="auto"/>
              </w:rPr>
            </w:pPr>
          </w:p>
        </w:tc>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740" w:type="dxa"/>
            <w:vAlign w:val="bottom"/>
            <w:vMerge w:val="restart"/>
          </w:tcPr>
          <w:p>
            <w:pPr>
              <w:spacing w:after="0"/>
              <w:rPr>
                <w:sz w:val="20"/>
                <w:szCs w:val="20"/>
                <w:color w:val="auto"/>
              </w:rPr>
            </w:pPr>
            <w:r>
              <w:rPr>
                <w:rFonts w:ascii="Arial" w:cs="Arial" w:eastAsia="Arial" w:hAnsi="Arial"/>
                <w:sz w:val="18"/>
                <w:szCs w:val="18"/>
                <w:color w:val="auto"/>
              </w:rPr>
              <w:t>April 26, 2016</w:t>
            </w: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6"/>
              </w:rPr>
              <w:t>William Burns</w:t>
            </w:r>
          </w:p>
        </w:tc>
        <w:tc>
          <w:tcPr>
            <w:tcW w:w="10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1"/>
        </w:trPr>
        <w:tc>
          <w:tcPr>
            <w:tcW w:w="42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5"/>
              </w:rPr>
              <w:t>Donal O’Dwyer</w:t>
            </w:r>
          </w:p>
        </w:tc>
        <w:tc>
          <w:tcPr>
            <w:tcW w:w="100" w:type="dxa"/>
            <w:vAlign w:val="bottom"/>
            <w:vMerge w:val="continue"/>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1"/>
        </w:trPr>
        <w:tc>
          <w:tcPr>
            <w:tcW w:w="42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2"/>
              </w:rPr>
              <w:t>Eric Rose</w:t>
            </w:r>
          </w:p>
        </w:tc>
        <w:tc>
          <w:tcPr>
            <w:tcW w:w="100" w:type="dxa"/>
            <w:vAlign w:val="bottom"/>
            <w:vMerge w:val="continue"/>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1"/>
        </w:trPr>
        <w:tc>
          <w:tcPr>
            <w:tcW w:w="42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1"/>
              </w:rPr>
              <w:t>Ben-Zion Weiner</w:t>
            </w:r>
          </w:p>
        </w:tc>
        <w:tc>
          <w:tcPr>
            <w:tcW w:w="100" w:type="dxa"/>
            <w:vAlign w:val="bottom"/>
            <w:vMerge w:val="continue"/>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Spooner</w:t>
            </w:r>
          </w:p>
        </w:tc>
        <w:tc>
          <w:tcPr>
            <w:tcW w:w="100" w:type="dxa"/>
            <w:vAlign w:val="bottom"/>
          </w:tcPr>
          <w:p>
            <w:pPr>
              <w:spacing w:after="0"/>
              <w:rPr>
                <w:sz w:val="24"/>
                <w:szCs w:val="24"/>
                <w:color w:val="auto"/>
              </w:rPr>
            </w:pPr>
          </w:p>
        </w:tc>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740" w:type="dxa"/>
            <w:vAlign w:val="bottom"/>
            <w:vMerge w:val="restart"/>
          </w:tcPr>
          <w:p>
            <w:pPr>
              <w:spacing w:after="0"/>
              <w:rPr>
                <w:sz w:val="20"/>
                <w:szCs w:val="20"/>
                <w:color w:val="auto"/>
              </w:rPr>
            </w:pPr>
            <w:r>
              <w:rPr>
                <w:rFonts w:ascii="Arial" w:cs="Arial" w:eastAsia="Arial" w:hAnsi="Arial"/>
                <w:sz w:val="18"/>
                <w:szCs w:val="18"/>
                <w:color w:val="auto"/>
              </w:rPr>
              <w:t>April 26, 2016</w:t>
            </w: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1"/>
              </w:rPr>
              <w:t>Michael Spooner</w:t>
            </w:r>
          </w:p>
        </w:tc>
        <w:tc>
          <w:tcPr>
            <w:tcW w:w="10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OF AUTHORIZED REPRESENTATIVE OF THE REGISTRANT</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Under the Securities Act of 1933, as amended, the undersigned, the duly authorized representative in the United States of Mesoblast Limited has signed this Registration Statement in New York, New York, on April 26, 2016.</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Authorized U.S. Representative</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Schuster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Schuster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New Product &amp; Technology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Evaluation, Investor Relations</w:t>
      </w:r>
    </w:p>
    <w:p>
      <w:pPr>
        <w:sectPr>
          <w:pgSz w:w="11900" w:h="16838" w:orient="portrait"/>
          <w:cols w:equalWidth="0" w:num="1">
            <w:col w:w="11340"/>
          </w:cols>
          <w:pgMar w:left="240" w:top="270"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ind w:left="37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69"/>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24"/>
                <w:szCs w:val="24"/>
                <w:color w:val="auto"/>
              </w:rPr>
            </w:pPr>
          </w:p>
        </w:tc>
        <w:tc>
          <w:tcPr>
            <w:tcW w:w="10340" w:type="dxa"/>
            <w:vAlign w:val="bottom"/>
            <w:vMerge w:val="restart"/>
          </w:tcPr>
          <w:p>
            <w:pPr>
              <w:ind w:left="4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5"/>
                <w:szCs w:val="15"/>
                <w:color w:val="auto"/>
              </w:rPr>
            </w:pPr>
          </w:p>
        </w:tc>
        <w:tc>
          <w:tcPr>
            <w:tcW w:w="10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Certificate of Registration of Mesoblast Limited (incorporated by reference to Exhibit 3.1 to the Company’s Registration Statement on Form 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1 filed with the Commission on November 2, 2015 (Registration No. 333- 207719))</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Constitution of Mesoblast Limited (incorporated by reference to Exhibit 3.2 to the Company’s Registration Statement on Form F-1 filed with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the Commission on November 2, 2015 (Registration No. 333- 207719))</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Form of Deposit Agreement dated October 19, 2015 among the Registrant, the depositary and all holders from time to time of the American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depositary receipts issued thereunder (incorporated by reference to Exhibit 4.1 to the Company’s Registration Statement on Form F-1 filed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with the Commission on November 2, 2015 (Registration No. 333- 207719))</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Opinion of Minter Ellison</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w w:val="95"/>
              </w:rPr>
              <w:t>10.1*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Employee Share Option Plan Rules, and form of option agreement thereunder (incorporated by reference to Exhibit 10.18 to the Registrant’s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Registration Statement on Form F-1 filed with the Commission on November 2, 2015 (registration number 333- 207719))</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w w:val="95"/>
              </w:rPr>
              <w:t>10.2*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Loan Funded Share Plan Rules, as amended, and form of loan agreement thereunder (incorporated by reference to Exhibit 10.17 to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9"/>
              </w:rPr>
              <w:t>Registrant’s Registration Statement on Form F-1 filed with the Commission on November 2, 2015 (Registration No. 333- 207719))</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Pricewaterhousecoopers, Independent Registered Public Accounting Firm</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23.2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Minter Ellison (contained in Exhibit 5.1 hereto)</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24.1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Power of Attorney (contained on signature page hereto)</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Previously filed.</w:t>
      </w:r>
    </w:p>
    <w:p>
      <w:pPr>
        <w:sectPr>
          <w:pgSz w:w="11900" w:h="16838" w:orient="portrait"/>
          <w:cols w:equalWidth="0" w:num="1">
            <w:col w:w="11420"/>
          </w:cols>
          <w:pgMar w:left="240" w:top="27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MinterEllison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21 April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Mesoblast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 Collins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Melbourne Vic 3000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Mesoblast Limited Registration Statement on Form S-8</w:t>
      </w:r>
    </w:p>
    <w:p>
      <w:pPr>
        <w:spacing w:after="0" w:line="252"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w:t>
      </w:r>
    </w:p>
    <w:p>
      <w:pPr>
        <w:spacing w:after="0" w:line="252" w:lineRule="exact"/>
        <w:rPr>
          <w:sz w:val="20"/>
          <w:szCs w:val="20"/>
          <w:color w:val="auto"/>
        </w:rPr>
      </w:pPr>
    </w:p>
    <w:p>
      <w:pPr>
        <w:ind w:left="580" w:right="280" w:hanging="566"/>
        <w:spacing w:after="0" w:line="261" w:lineRule="auto"/>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 xml:space="preserve">We have acted as Australian legal counsel to Mesoblast Limited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 company incorporated under the laws of the Commonwealth of Australia, in connection with its public filing of a registration statement on Form S-8 as amended to the date of this letter and pursuant to Rule 428 </w:t>
      </w:r>
      <w:r>
        <w:rPr>
          <w:rFonts w:ascii="Arial" w:cs="Arial" w:eastAsia="Arial" w:hAnsi="Arial"/>
          <w:sz w:val="18"/>
          <w:szCs w:val="18"/>
          <w:b w:val="1"/>
          <w:bCs w:val="1"/>
          <w:color w:val="auto"/>
        </w:rPr>
        <w:t xml:space="preserve">(Short Form Registration Statement) </w:t>
      </w:r>
      <w:r>
        <w:rPr>
          <w:rFonts w:ascii="Arial" w:cs="Arial" w:eastAsia="Arial" w:hAnsi="Arial"/>
          <w:sz w:val="18"/>
          <w:szCs w:val="18"/>
          <w:color w:val="auto"/>
        </w:rPr>
        <w:t>under the U.S. Securities Act of 1933, as amended</w:t>
      </w:r>
      <w:r>
        <w:rPr>
          <w:rFonts w:ascii="Arial" w:cs="Arial" w:eastAsia="Arial" w:hAnsi="Arial"/>
          <w:sz w:val="18"/>
          <w:szCs w:val="18"/>
          <w:b w:val="1"/>
          <w:bCs w:val="1"/>
          <w:color w:val="auto"/>
        </w:rPr>
        <w:t xml:space="preserve"> (Securities Act) </w:t>
      </w:r>
      <w:r>
        <w:rPr>
          <w:rFonts w:ascii="Arial" w:cs="Arial" w:eastAsia="Arial" w:hAnsi="Arial"/>
          <w:sz w:val="18"/>
          <w:szCs w:val="18"/>
          <w:color w:val="auto"/>
        </w:rPr>
        <w:t>with the U.S.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Commission </w:t>
      </w:r>
      <w:r>
        <w:rPr>
          <w:rFonts w:ascii="Arial" w:cs="Arial" w:eastAsia="Arial" w:hAnsi="Arial"/>
          <w:sz w:val="18"/>
          <w:szCs w:val="18"/>
          <w:b w:val="1"/>
          <w:bCs w:val="1"/>
          <w:color w:val="auto"/>
        </w:rPr>
        <w:t>(Commission).</w:t>
      </w:r>
    </w:p>
    <w:p>
      <w:pPr>
        <w:spacing w:after="0" w:line="207" w:lineRule="exact"/>
        <w:rPr>
          <w:sz w:val="20"/>
          <w:szCs w:val="20"/>
          <w:color w:val="auto"/>
        </w:rPr>
      </w:pPr>
    </w:p>
    <w:p>
      <w:pPr>
        <w:ind w:left="580" w:right="20" w:hanging="566"/>
        <w:spacing w:after="0" w:line="282" w:lineRule="auto"/>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 xml:space="preserve">The Short Form Registration Statement relates to the offering by the Company of American Depositary Shares </w:t>
      </w:r>
      <w:r>
        <w:rPr>
          <w:rFonts w:ascii="Arial" w:cs="Arial" w:eastAsia="Arial" w:hAnsi="Arial"/>
          <w:sz w:val="18"/>
          <w:szCs w:val="18"/>
          <w:b w:val="1"/>
          <w:bCs w:val="1"/>
          <w:color w:val="auto"/>
        </w:rPr>
        <w:t>(ADS)</w:t>
      </w:r>
      <w:r>
        <w:rPr>
          <w:rFonts w:ascii="Arial" w:cs="Arial" w:eastAsia="Arial" w:hAnsi="Arial"/>
          <w:sz w:val="18"/>
          <w:szCs w:val="18"/>
          <w:color w:val="auto"/>
        </w:rPr>
        <w:t xml:space="preserve"> representing fully paid ordinary shares without par value in the Company </w:t>
      </w:r>
      <w:r>
        <w:rPr>
          <w:rFonts w:ascii="Arial" w:cs="Arial" w:eastAsia="Arial" w:hAnsi="Arial"/>
          <w:sz w:val="18"/>
          <w:szCs w:val="18"/>
          <w:b w:val="1"/>
          <w:bCs w:val="1"/>
          <w:color w:val="auto"/>
        </w:rPr>
        <w:t>(Shares)</w:t>
      </w:r>
      <w:r>
        <w:rPr>
          <w:rFonts w:ascii="Arial" w:cs="Arial" w:eastAsia="Arial" w:hAnsi="Arial"/>
          <w:sz w:val="18"/>
          <w:szCs w:val="18"/>
          <w:color w:val="auto"/>
        </w:rPr>
        <w:t xml:space="preserve"> to be issued and sold by the Company pursuant to:</w:t>
      </w:r>
    </w:p>
    <w:p>
      <w:pPr>
        <w:spacing w:after="0" w:line="189" w:lineRule="exact"/>
        <w:rPr>
          <w:sz w:val="20"/>
          <w:szCs w:val="20"/>
          <w:color w:val="auto"/>
        </w:rPr>
      </w:pPr>
    </w:p>
    <w:p>
      <w:pPr>
        <w:ind w:left="1140" w:hanging="565"/>
        <w:spacing w:after="0" w:line="293" w:lineRule="auto"/>
        <w:tabs>
          <w:tab w:leader="none" w:pos="11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 xml:space="preserve">the company’s Loan Funded Share Plan </w:t>
      </w:r>
      <w:r>
        <w:rPr>
          <w:rFonts w:ascii="Arial" w:cs="Arial" w:eastAsia="Arial" w:hAnsi="Arial"/>
          <w:sz w:val="16"/>
          <w:szCs w:val="16"/>
          <w:b w:val="1"/>
          <w:bCs w:val="1"/>
          <w:color w:val="auto"/>
        </w:rPr>
        <w:t>(Loan Plan)</w:t>
      </w:r>
      <w:r>
        <w:rPr>
          <w:rFonts w:ascii="Arial" w:cs="Arial" w:eastAsia="Arial" w:hAnsi="Arial"/>
          <w:sz w:val="16"/>
          <w:szCs w:val="16"/>
          <w:color w:val="auto"/>
        </w:rPr>
        <w:t xml:space="preserve"> the rules of which, as amended, together with the form of loan agreement under the Plan, are incorporated by reference to Exhibit 10.17 to the Company’s Registration Statement on Form F-1 filed with the Commission on</w:t>
      </w:r>
    </w:p>
    <w:p>
      <w:pPr>
        <w:spacing w:after="0" w:line="1"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2 November 2015 (Registration No. 333-207719); and</w:t>
      </w:r>
    </w:p>
    <w:p>
      <w:pPr>
        <w:spacing w:after="0" w:line="233" w:lineRule="exact"/>
        <w:rPr>
          <w:rFonts w:ascii="Arial" w:cs="Arial" w:eastAsia="Arial" w:hAnsi="Arial"/>
          <w:sz w:val="16"/>
          <w:szCs w:val="16"/>
          <w:color w:val="auto"/>
        </w:rPr>
      </w:pPr>
    </w:p>
    <w:p>
      <w:pPr>
        <w:jc w:val="both"/>
        <w:ind w:left="1140" w:right="140" w:hanging="565"/>
        <w:spacing w:after="0" w:line="266" w:lineRule="auto"/>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the exercise of options issued under the Company’s Employee Share Option Plan </w:t>
      </w:r>
      <w:r>
        <w:rPr>
          <w:rFonts w:ascii="Arial" w:cs="Arial" w:eastAsia="Arial" w:hAnsi="Arial"/>
          <w:sz w:val="18"/>
          <w:szCs w:val="18"/>
          <w:b w:val="1"/>
          <w:bCs w:val="1"/>
          <w:color w:val="auto"/>
        </w:rPr>
        <w:t>(Option Plan)</w:t>
      </w:r>
      <w:r>
        <w:rPr>
          <w:rFonts w:ascii="Arial" w:cs="Arial" w:eastAsia="Arial" w:hAnsi="Arial"/>
          <w:sz w:val="18"/>
          <w:szCs w:val="18"/>
          <w:color w:val="auto"/>
        </w:rPr>
        <w:t xml:space="preserve"> the rules of which together with the form of option agreement under the Plan, are incorporated by reference to Exhibit 10.18 to the Company’s Registration Statement on Form F-1 filed with the Commission on 2 November 2015 (Registration No. 333-207719).</w:t>
      </w:r>
    </w:p>
    <w:p>
      <w:pPr>
        <w:spacing w:after="0" w:line="203"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examined and searches conducted and relied on by us</w:t>
      </w:r>
    </w:p>
    <w:p>
      <w:pPr>
        <w:spacing w:after="0" w:line="2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For the purposes of this opinion, we have examined and relied on copies of the following documents:</w:t>
      </w:r>
    </w:p>
    <w:p>
      <w:pPr>
        <w:spacing w:after="0" w:line="252" w:lineRule="exact"/>
        <w:rPr>
          <w:sz w:val="20"/>
          <w:szCs w:val="20"/>
          <w:color w:val="auto"/>
        </w:rPr>
      </w:pPr>
    </w:p>
    <w:p>
      <w:pPr>
        <w:ind w:left="1140" w:hanging="565"/>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Short Form Registration Statement, in the form received by us via email on 21 April 2016 from Charlie Harrison at 10.02am (AEDT);</w:t>
      </w:r>
    </w:p>
    <w:p>
      <w:pPr>
        <w:spacing w:after="0" w:line="259" w:lineRule="exact"/>
        <w:rPr>
          <w:rFonts w:ascii="Arial" w:cs="Arial" w:eastAsia="Arial" w:hAnsi="Arial"/>
          <w:sz w:val="17"/>
          <w:szCs w:val="17"/>
          <w:color w:val="auto"/>
        </w:rPr>
      </w:pPr>
    </w:p>
    <w:p>
      <w:pPr>
        <w:ind w:left="1140" w:right="20" w:hanging="565"/>
        <w:spacing w:after="0" w:line="266"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 certificate dated 10 March 2016 signed by Brian Jamieson on behalf of the directors of the Company </w:t>
      </w:r>
      <w:r>
        <w:rPr>
          <w:rFonts w:ascii="Arial" w:cs="Arial" w:eastAsia="Arial" w:hAnsi="Arial"/>
          <w:sz w:val="18"/>
          <w:szCs w:val="18"/>
          <w:b w:val="1"/>
          <w:bCs w:val="1"/>
          <w:color w:val="auto"/>
        </w:rPr>
        <w:t>(Directors)</w:t>
      </w:r>
      <w:r>
        <w:rPr>
          <w:rFonts w:ascii="Arial" w:cs="Arial" w:eastAsia="Arial" w:hAnsi="Arial"/>
          <w:sz w:val="18"/>
          <w:szCs w:val="18"/>
          <w:color w:val="auto"/>
        </w:rPr>
        <w:t xml:space="preserve"> certifying the accuracy and completeness of the constitution of the Company, the rules of the Loan Plan, the rules of the Option Plan and the extract of the draft minutes of the meeting of the Directors held on 7 March 2016;</w:t>
      </w:r>
    </w:p>
    <w:p>
      <w:pPr>
        <w:spacing w:after="0" w:line="207"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documents referred to in the certificates;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Level 23 Rialto Towers 525 Collins Street Melbourne</w:t>
      </w:r>
    </w:p>
    <w:p>
      <w:pPr>
        <w:spacing w:after="0" w:line="221" w:lineRule="auto"/>
        <w:rPr>
          <w:sz w:val="20"/>
          <w:szCs w:val="20"/>
          <w:color w:val="auto"/>
        </w:rPr>
      </w:pPr>
      <w:r>
        <w:rPr>
          <w:rFonts w:ascii="Arial" w:cs="Arial" w:eastAsia="Arial" w:hAnsi="Arial"/>
          <w:sz w:val="14"/>
          <w:szCs w:val="14"/>
          <w:color w:val="auto"/>
        </w:rPr>
        <w:t>GPO Box 769 Melbourne VIC 3001 Australia DX 204 Melbourne</w:t>
      </w:r>
    </w:p>
    <w:p>
      <w:pPr>
        <w:spacing w:after="0"/>
        <w:rPr>
          <w:sz w:val="20"/>
          <w:szCs w:val="20"/>
          <w:color w:val="auto"/>
        </w:rPr>
      </w:pPr>
      <w:r>
        <w:rPr>
          <w:rFonts w:ascii="Arial" w:cs="Arial" w:eastAsia="Arial" w:hAnsi="Arial"/>
          <w:sz w:val="14"/>
          <w:szCs w:val="14"/>
          <w:color w:val="auto"/>
        </w:rPr>
        <w:t>T +61 3 8608 2000 F +61 3 8608 1000 minterellison.com</w:t>
      </w:r>
    </w:p>
    <w:p>
      <w:pPr>
        <w:sectPr>
          <w:pgSz w:w="11900" w:h="16838" w:orient="portrait"/>
          <w:cols w:equalWidth="0" w:num="1">
            <w:col w:w="11420"/>
          </w:cols>
          <w:pgMar w:left="240" w:top="121" w:right="239" w:bottom="1440" w:gutter="0" w:footer="0" w:header="0"/>
        </w:sectPr>
      </w:pPr>
    </w:p>
    <w:bookmarkStart w:id="9" w:name="page10"/>
    <w:bookmarkEnd w:id="9"/>
    <w:p>
      <w:pPr>
        <w:ind w:left="1140" w:right="580" w:hanging="565"/>
        <w:spacing w:after="0" w:line="277" w:lineRule="auto"/>
        <w:tabs>
          <w:tab w:leader="none" w:pos="1140" w:val="left"/>
        </w:tabs>
        <w:numPr>
          <w:ilvl w:val="1"/>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search of the electronically available public register of the Company available on the online database of the Australian Securities and Investments Commission on 21 April 2016 at 1.12pm (AEST); and</w:t>
      </w:r>
    </w:p>
    <w:p>
      <w:pPr>
        <w:spacing w:after="0" w:line="197" w:lineRule="exact"/>
        <w:rPr>
          <w:rFonts w:ascii="Arial" w:cs="Arial" w:eastAsia="Arial" w:hAnsi="Arial"/>
          <w:sz w:val="18"/>
          <w:szCs w:val="18"/>
          <w:color w:val="auto"/>
        </w:rPr>
      </w:pPr>
    </w:p>
    <w:p>
      <w:pPr>
        <w:ind w:left="1140" w:hanging="565"/>
        <w:spacing w:after="0"/>
        <w:tabs>
          <w:tab w:leader="none" w:pos="11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search of the Company on the publicly available electronic Insolvency Notices register on 21 April 2016 at 1.10pm (AEST).</w:t>
      </w:r>
    </w:p>
    <w:p>
      <w:pPr>
        <w:spacing w:after="0" w:line="248"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 in providing this letter</w:t>
      </w:r>
    </w:p>
    <w:p>
      <w:pPr>
        <w:spacing w:after="0" w:line="22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For the purposes of this opinion, we have assumed:</w:t>
      </w:r>
    </w:p>
    <w:p>
      <w:pPr>
        <w:spacing w:after="0" w:line="252"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genuineness of all signatures;</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documents submitted to us as copies conform with the originals, and all copy documents are complete and up to date;</w:t>
      </w:r>
    </w:p>
    <w:p>
      <w:pPr>
        <w:spacing w:after="0" w:line="252" w:lineRule="exact"/>
        <w:rPr>
          <w:rFonts w:ascii="Arial" w:cs="Arial" w:eastAsia="Arial" w:hAnsi="Arial"/>
          <w:sz w:val="18"/>
          <w:szCs w:val="18"/>
          <w:color w:val="auto"/>
        </w:rPr>
      </w:pPr>
    </w:p>
    <w:p>
      <w:pPr>
        <w:ind w:left="1140" w:right="340" w:hanging="565"/>
        <w:spacing w:after="0" w:line="277"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relevant original documents continue in full force and effect and all signatures, seals, dates, duty stamps and markings appearing on all documents and copy documents submitted to us are genuine;</w:t>
      </w:r>
    </w:p>
    <w:p>
      <w:pPr>
        <w:spacing w:after="0" w:line="197" w:lineRule="exact"/>
        <w:rPr>
          <w:rFonts w:ascii="Arial" w:cs="Arial" w:eastAsia="Arial" w:hAnsi="Arial"/>
          <w:sz w:val="18"/>
          <w:szCs w:val="18"/>
          <w:color w:val="auto"/>
        </w:rPr>
      </w:pPr>
    </w:p>
    <w:p>
      <w:pPr>
        <w:ind w:left="1140" w:right="200" w:hanging="565"/>
        <w:spacing w:after="0" w:line="259"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documents which purport to be governed by the law of any jurisdiction other than the laws of the Commonwealth of Australia are legal, valid and binding obligations of all parties to those documents and none of the execution, delivery or performance of any document by any party to the document violates or contravenes or is rendered invalid, not binding or unenforceable under any applicable law under any jurisdiction other than the laws of the Commonwealth of Australia; and</w:t>
      </w:r>
    </w:p>
    <w:p>
      <w:pPr>
        <w:spacing w:after="0" w:line="213" w:lineRule="exact"/>
        <w:rPr>
          <w:rFonts w:ascii="Arial" w:cs="Arial" w:eastAsia="Arial" w:hAnsi="Arial"/>
          <w:sz w:val="18"/>
          <w:szCs w:val="18"/>
          <w:color w:val="auto"/>
        </w:rPr>
      </w:pPr>
    </w:p>
    <w:p>
      <w:pPr>
        <w:ind w:left="1140" w:right="100" w:hanging="565"/>
        <w:spacing w:after="0" w:line="259"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public records and searches which we have examined are accurate and the information disclosed by the searches conducted by us is true and complete and such information has not since been altered and the searches did not fail to disclose any information which had been delivered for registration, lodgement or filing against the Company’s records but which did not appear on the public records at the date of our search.</w:t>
      </w:r>
    </w:p>
    <w:p>
      <w:pPr>
        <w:spacing w:after="0" w:line="209"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and qualifications</w:t>
      </w:r>
    </w:p>
    <w:p>
      <w:pPr>
        <w:spacing w:after="0" w:line="256" w:lineRule="exact"/>
        <w:rPr>
          <w:sz w:val="20"/>
          <w:szCs w:val="20"/>
          <w:color w:val="auto"/>
        </w:rPr>
      </w:pPr>
    </w:p>
    <w:p>
      <w:pPr>
        <w:jc w:val="both"/>
        <w:ind w:left="580" w:right="40" w:hanging="566"/>
        <w:spacing w:after="0" w:line="264" w:lineRule="auto"/>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This opinion, which is governed by and to be interpreted in accordance with, the laws of the State of Victoria, Australia, is given only with respect to the laws of that State and of the Commonwealth of Australia that are in effect on the date of this opinion. We have not investigated and do not express any view about, any law other than that of Australia.</w:t>
      </w:r>
    </w:p>
    <w:p>
      <w:pPr>
        <w:spacing w:after="0" w:line="20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We have relied on the assumptions contained in section 129 of the Corporations Act with respect to the Company.</w:t>
      </w:r>
    </w:p>
    <w:p>
      <w:pPr>
        <w:spacing w:after="0" w:line="252" w:lineRule="exact"/>
        <w:rPr>
          <w:sz w:val="20"/>
          <w:szCs w:val="20"/>
          <w:color w:val="auto"/>
        </w:rPr>
      </w:pPr>
    </w:p>
    <w:p>
      <w:pPr>
        <w:ind w:left="580" w:right="140" w:hanging="566"/>
        <w:spacing w:after="0" w:line="277" w:lineRule="auto"/>
        <w:tabs>
          <w:tab w:leader="none" w:pos="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We express no view on any matter requiring skill or expertise of a non-legal nature, such as financial, statistical, accounting, commercial or actuarial matters.</w:t>
      </w:r>
    </w:p>
    <w:p>
      <w:pPr>
        <w:spacing w:after="0" w:line="19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This opinion is limited to the matters stated in this letter, and no opinion is implied or may be inferred beyond the matters expressly stated.</w:t>
      </w:r>
    </w:p>
    <w:p>
      <w:pPr>
        <w:spacing w:after="0" w:line="248"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Based on and subject to the above, in our opinion:</w:t>
      </w:r>
    </w:p>
    <w:p>
      <w:pPr>
        <w:spacing w:after="0" w:line="252" w:lineRule="exact"/>
        <w:rPr>
          <w:sz w:val="20"/>
          <w:szCs w:val="20"/>
          <w:color w:val="auto"/>
        </w:rPr>
      </w:pPr>
    </w:p>
    <w:p>
      <w:pPr>
        <w:ind w:left="1140" w:right="60" w:hanging="565"/>
        <w:spacing w:after="0" w:line="259"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under the laws of Australia and in ‘good standing’ (as the term ‘good standing’ is not defined under the laws of the Commonwealth of Australia, we have assumed that the expression means that there are no current orders for the winding up of the Company, no appointment of a liquidator of the Company, no appointment of a receiver to all or a substantial part of its assets and no notice of its proposed deregistration); and</w:t>
      </w:r>
    </w:p>
    <w:p>
      <w:pPr>
        <w:spacing w:after="0" w:line="115" w:lineRule="exact"/>
        <w:rPr>
          <w:sz w:val="20"/>
          <w:szCs w:val="20"/>
          <w:color w:val="auto"/>
        </w:rPr>
      </w:pPr>
    </w:p>
    <w:p>
      <w:pPr>
        <w:spacing w:after="0"/>
        <w:tabs>
          <w:tab w:leader="none" w:pos="11020" w:val="left"/>
        </w:tabs>
        <w:rPr>
          <w:sz w:val="20"/>
          <w:szCs w:val="20"/>
          <w:color w:val="auto"/>
        </w:rPr>
      </w:pPr>
      <w:r>
        <w:rPr>
          <w:rFonts w:ascii="Arial" w:cs="Arial" w:eastAsia="Arial" w:hAnsi="Arial"/>
          <w:sz w:val="14"/>
          <w:szCs w:val="14"/>
          <w:color w:val="auto"/>
        </w:rPr>
        <w:t>Mesoblast Limited  |  21 April 2016</w:t>
      </w:r>
      <w:r>
        <w:rPr>
          <w:sz w:val="20"/>
          <w:szCs w:val="20"/>
          <w:color w:val="auto"/>
        </w:rPr>
        <w:tab/>
      </w:r>
      <w:r>
        <w:rPr>
          <w:rFonts w:ascii="Arial" w:cs="Arial" w:eastAsia="Arial" w:hAnsi="Arial"/>
          <w:sz w:val="11"/>
          <w:szCs w:val="11"/>
          <w:color w:val="auto"/>
        </w:rPr>
        <w:t>Page 2</w:t>
      </w:r>
    </w:p>
    <w:p>
      <w:pPr>
        <w:sectPr>
          <w:pgSz w:w="11900" w:h="16838" w:orient="portrait"/>
          <w:cols w:equalWidth="0" w:num="1">
            <w:col w:w="11420"/>
          </w:cols>
          <w:pgMar w:left="240" w:top="274" w:right="239" w:bottom="1440" w:gutter="0" w:footer="0" w:header="0"/>
        </w:sectPr>
      </w:pPr>
    </w:p>
    <w:bookmarkStart w:id="10" w:name="page11"/>
    <w:bookmarkEnd w:id="10"/>
    <w:p>
      <w:pPr>
        <w:ind w:left="1140" w:right="20" w:hanging="565"/>
        <w:spacing w:after="0" w:line="273" w:lineRule="auto"/>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issue of the Shares against payment for the Shares offered under the Loan Plan or the Shares issued on the exercise of Options issued under the Option Plan, the Shares will be validly issued, fully paid and ‘non-assessable’ (for the purposes of this opinion, the term ‘non-assessable’ when used to describe the liability of a person as the registered holder of shares is not a concept known under the laws of the Commonwealth of Australia, so we have assumed those words to mean that holders of such Shares, having fully paid all amounts due on the issue of such Shares, are under no personal liability under the Corporations Act to contribute to the assets and liabilities of the Company on a winding up of the Company in their capacity solely as holders of such Shares).</w:t>
      </w:r>
    </w:p>
    <w:p>
      <w:pPr>
        <w:spacing w:after="0" w:line="205" w:lineRule="exact"/>
        <w:rPr>
          <w:sz w:val="20"/>
          <w:szCs w:val="20"/>
          <w:color w:val="auto"/>
        </w:rPr>
      </w:pPr>
    </w:p>
    <w:p>
      <w:pPr>
        <w:ind w:left="580" w:right="200" w:hanging="566"/>
        <w:spacing w:after="0" w:line="312" w:lineRule="auto"/>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This opinion is deemed to be given as at the date of the effectiveness of the Short Form Registration Statement and will speak as at that date and we do not undertake any obligation to advise you of any changes (including but not limited to any subsequently enacted, published or reported laws, regulations or binding authority) that may occur or come to our attention after the date of this letter which may affect our opinion.</w:t>
      </w:r>
    </w:p>
    <w:p>
      <w:pPr>
        <w:spacing w:after="0" w:line="170"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Consent</w:t>
      </w:r>
    </w:p>
    <w:p>
      <w:pPr>
        <w:spacing w:after="0" w:line="121" w:lineRule="exact"/>
        <w:rPr>
          <w:rFonts w:ascii="Arial" w:cs="Arial" w:eastAsia="Arial" w:hAnsi="Arial"/>
          <w:sz w:val="18"/>
          <w:szCs w:val="18"/>
          <w:b w:val="1"/>
          <w:bCs w:val="1"/>
          <w:color w:val="auto"/>
        </w:rPr>
      </w:pPr>
    </w:p>
    <w:p>
      <w:pPr>
        <w:ind w:left="58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consent to the use of this opinion as Exhibit 5.1 to the Short Form Registration Statement. In giving this consent, we do not admit that we come within the category of persons whose consent is required under Section 7 of the Securities Act or the rules and regulations of the Commission promulgated under that 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MinterEllison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Bart Oude-Vrielink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Contact: Bart Oude-Vrielink T: +61 3 8608 2942</w:t>
      </w:r>
    </w:p>
    <w:p>
      <w:pPr>
        <w:ind w:right="8040" w:firstLine="8"/>
        <w:spacing w:after="0" w:line="238" w:lineRule="auto"/>
        <w:tabs>
          <w:tab w:leader="none" w:pos="156" w:val="left"/>
        </w:tabs>
        <w:numPr>
          <w:ilvl w:val="0"/>
          <w:numId w:val="20"/>
        </w:numPr>
        <w:rPr>
          <w:rFonts w:ascii="Arial" w:cs="Arial" w:eastAsia="Arial" w:hAnsi="Arial"/>
          <w:sz w:val="13"/>
          <w:szCs w:val="13"/>
          <w:color w:val="auto"/>
        </w:rPr>
      </w:pPr>
      <w:r>
        <w:rPr>
          <w:rFonts w:ascii="Arial" w:cs="Arial" w:eastAsia="Arial" w:hAnsi="Arial"/>
          <w:sz w:val="13"/>
          <w:szCs w:val="13"/>
          <w:color w:val="auto"/>
        </w:rPr>
        <w:t>+61 3 8608 1151 bart.oude-vrielink@minterellison.com Partner: Bart Oude-Vrielink T: +61 3 8608 2942</w:t>
      </w:r>
    </w:p>
    <w:p>
      <w:pPr>
        <w:spacing w:after="0"/>
        <w:rPr>
          <w:rFonts w:ascii="Arial" w:cs="Arial" w:eastAsia="Arial" w:hAnsi="Arial"/>
          <w:sz w:val="13"/>
          <w:szCs w:val="13"/>
          <w:color w:val="auto"/>
        </w:rPr>
      </w:pPr>
      <w:r>
        <w:rPr>
          <w:rFonts w:ascii="Arial" w:cs="Arial" w:eastAsia="Arial" w:hAnsi="Arial"/>
          <w:sz w:val="14"/>
          <w:szCs w:val="14"/>
          <w:color w:val="auto"/>
        </w:rPr>
        <w:t>OUR REF: BFO 1120399</w:t>
      </w:r>
    </w:p>
    <w:p>
      <w:pPr>
        <w:spacing w:after="0" w:line="124" w:lineRule="exact"/>
        <w:rPr>
          <w:sz w:val="20"/>
          <w:szCs w:val="20"/>
          <w:color w:val="auto"/>
        </w:rPr>
      </w:pPr>
    </w:p>
    <w:p>
      <w:pPr>
        <w:spacing w:after="0"/>
        <w:tabs>
          <w:tab w:leader="none" w:pos="11020" w:val="left"/>
        </w:tabs>
        <w:rPr>
          <w:sz w:val="20"/>
          <w:szCs w:val="20"/>
          <w:color w:val="auto"/>
        </w:rPr>
      </w:pPr>
      <w:r>
        <w:rPr>
          <w:rFonts w:ascii="Arial" w:cs="Arial" w:eastAsia="Arial" w:hAnsi="Arial"/>
          <w:sz w:val="14"/>
          <w:szCs w:val="14"/>
          <w:color w:val="auto"/>
        </w:rPr>
        <w:t>Mesoblast Limited  |  21 April 2016</w:t>
      </w:r>
      <w:r>
        <w:rPr>
          <w:sz w:val="20"/>
          <w:szCs w:val="20"/>
          <w:color w:val="auto"/>
        </w:rPr>
        <w:tab/>
      </w:r>
      <w:r>
        <w:rPr>
          <w:rFonts w:ascii="Arial" w:cs="Arial" w:eastAsia="Arial" w:hAnsi="Arial"/>
          <w:sz w:val="11"/>
          <w:szCs w:val="11"/>
          <w:color w:val="auto"/>
        </w:rPr>
        <w:t>Page 3</w:t>
      </w:r>
    </w:p>
    <w:p>
      <w:pPr>
        <w:sectPr>
          <w:pgSz w:w="11900" w:h="16838" w:orient="portrait"/>
          <w:cols w:equalWidth="0" w:num="1">
            <w:col w:w="11420"/>
          </w:cols>
          <w:pgMar w:left="240" w:top="27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September 21, 2015 relating to the financial statements of Mesoblast Limited as at June 30, 2015 and June 30, 2014 and for the three year period then ended June 30, 2015, which appears in Mesoblast Limited’s Registration Statement on Form F-1, as amended (No. 333-207719).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Melbourne, 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26,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
      <w:numFmt w:val="bullet"/>
      <w:start w:val="1"/>
    </w:lvl>
    <w:lvl w:ilvl="1">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7">
    <w:nsid w:val="DED7263"/>
    <w:multiLevelType w:val="hybridMultilevel"/>
    <w:lvl w:ilvl="0">
      <w:lvlJc w:val="left"/>
      <w:lvlText w:val="%1"/>
      <w:numFmt w:val="upperLetter"/>
      <w:start w:val="1"/>
    </w:lvl>
    <w:lvl w:ilvl="1">
      <w:lvlJc w:val="left"/>
      <w:lvlText w:val="(%2)"/>
      <w:numFmt w:val="decimal"/>
      <w:start w:val="2"/>
    </w:lvl>
  </w:abstractNum>
  <w:abstractNum w:abstractNumId="8">
    <w:nsid w:val="7FDCC233"/>
    <w:multiLevelType w:val="hybridMultilevel"/>
    <w:lvl w:ilvl="0">
      <w:lvlJc w:val="left"/>
      <w:lvlText w:val="%1."/>
      <w:numFmt w:val="upperLetter"/>
      <w:start w:val="2"/>
    </w:lvl>
    <w:lvl w:ilvl="1">
      <w:lvlJc w:val="left"/>
      <w:lvlText w:val="%2"/>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lvl w:ilvl="1">
      <w:lvlJc w:val="left"/>
      <w:lvlText w:val="(%2)"/>
      <w:numFmt w:val="lowerLetter"/>
      <w:start w:val="1"/>
    </w:lvl>
  </w:abstractNum>
  <w:abstractNum w:abstractNumId="11">
    <w:nsid w:val="6B68079A"/>
    <w:multiLevelType w:val="hybridMultilevel"/>
    <w:lvl w:ilvl="0">
      <w:lvlJc w:val="left"/>
      <w:lvlText w:val="%1."/>
      <w:numFmt w:val="decimal"/>
      <w:start w:val="2"/>
    </w:lvl>
    <w:lvl w:ilvl="1">
      <w:lvlJc w:val="left"/>
      <w:lvlText w:val="%2"/>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1"/>
    </w:lvl>
    <w:lvl w:ilvl="1">
      <w:lvlJc w:val="left"/>
      <w:lvlText w:val="(%2)"/>
      <w:numFmt w:val="lowerLetter"/>
      <w:start w:val="4"/>
    </w:lvl>
  </w:abstractNum>
  <w:abstractNum w:abstractNumId="14">
    <w:nsid w:val="519B500D"/>
    <w:multiLevelType w:val="hybridMultilevel"/>
    <w:lvl w:ilvl="0">
      <w:lvlJc w:val="left"/>
      <w:lvlText w:val="%1."/>
      <w:numFmt w:val="decimal"/>
      <w:start w:val="3"/>
    </w:lvl>
    <w:lvl w:ilvl="1">
      <w:lvlJc w:val="left"/>
      <w:lvlText w:val="(%2)"/>
      <w:numFmt w:val="lowerLetter"/>
      <w:start w:val="1"/>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2"/>
    </w:lvl>
  </w:abstractNum>
  <w:abstractNum w:abstractNumId="18">
    <w:nsid w:val="257130A3"/>
    <w:multiLevelType w:val="hybridMultilevel"/>
    <w:lvl w:ilvl="0">
      <w:lvlJc w:val="left"/>
      <w:lvlText w:val="%1."/>
      <w:numFmt w:val="decimal"/>
      <w:start w:val="6"/>
    </w:lvl>
  </w:abstractNum>
  <w:abstractNum w:abstractNumId="19">
    <w:nsid w:val="62BBD95A"/>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2019-12-08T10:40:07Z</dcterms:created>
  <dcterms:modified xsi:type="dcterms:W3CDTF">2019-12-08T10:40:07Z</dcterms:modified>
</cp:coreProperties>
</file>