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16.jpeg" ContentType="image/jpeg"/>
  <Override PartName="/word/media/image15.jpeg" ContentType="image/jpeg"/>
  <Override PartName="/word/media/image14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12.jpeg" ContentType="image/jpeg"/>
  <Override PartName="/word/media/image10.jpeg" ContentType="image/jpeg"/>
  <Override PartName="/word/media/image8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double" w:sz="1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0"/>
        </w:rPr>
      </w:pPr>
      <w:r>
        <w:rPr>
          <w:rFonts w:ascii="Times New Roman;serif" w:hAnsi="Times New Roman;serif"/>
          <w:b/>
          <w:color w:val="000000"/>
          <w:sz w:val="30"/>
        </w:rPr>
        <w:t xml:space="preserve">UNITED STATES </w:t>
        <w:br/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288" w:before="240" w:after="283"/>
        <w:jc w:val="center"/>
        <w:rPr/>
      </w:pPr>
      <w:r>
        <w:rPr>
          <w:color w:val="000000"/>
        </w:rPr>
        <w:t> </w:t>
      </w:r>
      <w:r>
        <w:rPr>
          <w:rFonts w:ascii="Times New Roman;serif" w:hAnsi="Times New Roman;serif"/>
          <w:b/>
          <w:color w:val="000000"/>
          <w:sz w:val="36"/>
        </w:rPr>
        <w:t>Form 6-K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240" w:after="283"/>
        <w:jc w:val="center"/>
        <w:rPr/>
      </w:pPr>
      <w:r>
        <w:rPr>
          <w:rFonts w:ascii="Times New Roman;serif" w:hAnsi="Times New Roman;serif"/>
          <w:b/>
          <w:color w:val="000000"/>
          <w:sz w:val="24"/>
        </w:rPr>
        <w:t>Report of Foreign Private Issuer</w:t>
        <w:br/>
        <w:t>Pursuant to Rule 13a-16 or 15d-16 under the Securities Exchange Act of 1934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For the month of October 2026</w:t>
      </w:r>
    </w:p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Commission File Number 001-37626</w:t>
      </w:r>
    </w:p>
    <w:p>
      <w:pPr>
        <w:pStyle w:val="TextBody"/>
        <w:bidi w:val="0"/>
        <w:spacing w:lineRule="auto" w:line="288" w:before="240" w:after="283"/>
        <w:jc w:val="center"/>
        <w:rPr/>
      </w:pPr>
      <w:r>
        <w:rPr>
          <w:rFonts w:ascii="Times New Roman;serif" w:hAnsi="Times New Roman;serif"/>
          <w:b/>
          <w:color w:val="000000"/>
          <w:sz w:val="48"/>
        </w:rPr>
        <w:t>Mesoblast Limited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 w:val="false"/>
          <w:color w:val="000000"/>
          <w:sz w:val="20"/>
        </w:rPr>
        <w:t>(</w:t>
      </w:r>
      <w:r>
        <w:rPr>
          <w:rFonts w:ascii="Times New Roman;serif" w:hAnsi="Times New Roman;serif"/>
          <w:b w:val="false"/>
          <w:i/>
          <w:color w:val="000000"/>
          <w:sz w:val="20"/>
        </w:rPr>
        <w:t>Exact name of Registrant as specified in its charter</w:t>
      </w:r>
      <w:r>
        <w:rPr>
          <w:rFonts w:ascii="Times New Roman;serif" w:hAnsi="Times New Roman;serif"/>
          <w:b w:val="false"/>
          <w:color w:val="000000"/>
          <w:sz w:val="20"/>
        </w:rPr>
        <w:t>)</w:t>
      </w:r>
    </w:p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Not Applicable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 w:val="false"/>
          <w:color w:val="000000"/>
          <w:sz w:val="20"/>
        </w:rPr>
        <w:t>(</w:t>
      </w:r>
      <w:r>
        <w:rPr>
          <w:rFonts w:ascii="Times New Roman;serif" w:hAnsi="Times New Roman;serif"/>
          <w:b w:val="false"/>
          <w:i/>
          <w:color w:val="000000"/>
          <w:sz w:val="20"/>
        </w:rPr>
        <w:t>Translation of Registrant’s name into English)</w:t>
      </w:r>
    </w:p>
    <w:p>
      <w:pPr>
        <w:pStyle w:val="TextBody"/>
        <w:bidi w:val="0"/>
        <w:spacing w:lineRule="auto" w:line="288" w:before="240" w:after="283"/>
        <w:jc w:val="center"/>
        <w:rPr/>
      </w:pPr>
      <w:r>
        <w:rPr>
          <w:rFonts w:ascii="Times New Roman;serif" w:hAnsi="Times New Roman;serif"/>
          <w:b/>
          <w:color w:val="000000"/>
          <w:sz w:val="20"/>
        </w:rPr>
        <w:t>Australia</w:t>
      </w:r>
      <w:r>
        <w:rPr>
          <w:rFonts w:ascii="Times New Roman;serif" w:hAnsi="Times New Roman;serif"/>
          <w:b w:val="false"/>
          <w:color w:val="000000"/>
          <w:sz w:val="20"/>
        </w:rPr>
        <w:br/>
        <w:t>(</w:t>
      </w:r>
      <w:r>
        <w:rPr>
          <w:rFonts w:ascii="Times New Roman;serif" w:hAnsi="Times New Roman;serif"/>
          <w:b w:val="false"/>
          <w:i/>
          <w:color w:val="000000"/>
          <w:sz w:val="20"/>
        </w:rPr>
        <w:t>Jurisdiction of incorporation or organization)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Silviu Itescu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Chief Executive Officer and Executive Director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Level 38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55 Collins Street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Melbourne 3000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Australia 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 w:val="false"/>
          <w:color w:val="000000"/>
          <w:sz w:val="20"/>
        </w:rPr>
        <w:t>(</w:t>
      </w:r>
      <w:r>
        <w:rPr>
          <w:rFonts w:ascii="Times New Roman;serif" w:hAnsi="Times New Roman;serif"/>
          <w:b w:val="false"/>
          <w:i/>
          <w:color w:val="000000"/>
          <w:sz w:val="20"/>
        </w:rPr>
        <w:t>Address of principal executive offices</w:t>
      </w:r>
      <w:r>
        <w:rPr>
          <w:rFonts w:ascii="Times New Roman;serif" w:hAnsi="Times New Roman;serif"/>
          <w:b w:val="false"/>
          <w:color w:val="000000"/>
          <w:sz w:val="20"/>
        </w:rPr>
        <w:t>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Indicate by check mark whether the registrant files or will file annual reports under cover Form 20-F or Form 40-F:</w:t>
      </w:r>
    </w:p>
    <w:p>
      <w:pPr>
        <w:pStyle w:val="TextBody"/>
        <w:bidi w:val="0"/>
        <w:spacing w:lineRule="auto" w:line="288" w:before="120" w:after="283"/>
        <w:jc w:val="center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Form 20-F </w:t>
      </w:r>
      <w:r>
        <w:rPr>
          <w:color w:val="000000"/>
        </w:rPr>
        <w:t xml:space="preserve">☑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Form 40-F </w:t>
      </w:r>
      <w:r>
        <w:rPr>
          <w:color w:val="000000"/>
        </w:rPr>
        <w:t>☐</w:t>
      </w:r>
    </w:p>
    <w:p>
      <w:pPr>
        <w:pStyle w:val="TextBody"/>
        <w:bidi w:val="0"/>
        <w:spacing w:before="12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10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INFORMATION CONTAINED ON THIS REPORT ON FORM 6-K</w:t>
      </w:r>
    </w:p>
    <w:p>
      <w:pPr>
        <w:pStyle w:val="TextBody"/>
        <w:bidi w:val="0"/>
        <w:spacing w:lineRule="auto" w:line="288" w:before="240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On October 14, 2026, Mesoblast Limited filed with the Australian Securities Exchange a new issue announcement, notification of cessation of securities (Appendix 3H) which is attached hereto as </w:t>
      </w:r>
      <w:r>
        <w:rPr>
          <w:rFonts w:ascii="Times New Roman;serif" w:hAnsi="Times New Roman;serif"/>
          <w:b w:val="false"/>
          <w:color w:val="000000"/>
          <w:sz w:val="20"/>
          <w:u w:val="single"/>
        </w:rPr>
        <w:t>Exhibit 99.1</w:t>
      </w:r>
      <w:r>
        <w:rPr>
          <w:rFonts w:ascii="Times New Roman;serif" w:hAnsi="Times New Roman;serif"/>
          <w:b w:val="false"/>
          <w:color w:val="000000"/>
          <w:sz w:val="20"/>
        </w:rPr>
        <w:t>, and is incorporated herein by reference.</w:t>
      </w:r>
    </w:p>
    <w:p>
      <w:pPr>
        <w:pStyle w:val="TextBody"/>
        <w:bidi w:val="0"/>
        <w:spacing w:lineRule="auto" w:line="288" w:before="240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On October 14, 2026, Mesoblast Limited filed with the Australian Securities Exchange a new issue announcement, notification of issue, conversion or payment up of unquoted equity securities (Appendix 3G) which is attached hereto as </w:t>
      </w:r>
      <w:r>
        <w:rPr>
          <w:rFonts w:ascii="Times New Roman;serif" w:hAnsi="Times New Roman;serif"/>
          <w:b w:val="false"/>
          <w:color w:val="000000"/>
          <w:sz w:val="20"/>
          <w:u w:val="single"/>
        </w:rPr>
        <w:t>Exhibit 99.2,</w:t>
      </w:r>
      <w:r>
        <w:rPr>
          <w:color w:val="000000"/>
        </w:rPr>
        <w:t xml:space="preserve"> </w:t>
      </w:r>
      <w:r>
        <w:rPr>
          <w:rFonts w:ascii="Times New Roman;serif" w:hAnsi="Times New Roman;serif"/>
          <w:b w:val="false"/>
          <w:color w:val="000000"/>
          <w:sz w:val="20"/>
        </w:rPr>
        <w:t>and is incorporated herein by reference.</w:t>
      </w:r>
    </w:p>
    <w:p>
      <w:pPr>
        <w:pStyle w:val="TextBody"/>
        <w:bidi w:val="0"/>
        <w:spacing w:lineRule="auto" w:line="288" w:before="240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On October 14, 2026, Mesoblast Limited filed with the Australian Securities Exchange a new issue announcement, application for quotation of securities (Appendix 2A) which is attached hereto as </w:t>
      </w:r>
      <w:r>
        <w:rPr>
          <w:rFonts w:ascii="Times New Roman;serif" w:hAnsi="Times New Roman;serif"/>
          <w:b w:val="false"/>
          <w:color w:val="000000"/>
          <w:sz w:val="20"/>
          <w:u w:val="single"/>
        </w:rPr>
        <w:t>Exhibit 99.3,</w:t>
      </w:r>
      <w:r>
        <w:rPr>
          <w:color w:val="000000"/>
        </w:rPr>
        <w:t xml:space="preserve"> </w:t>
      </w:r>
      <w:r>
        <w:rPr>
          <w:rFonts w:ascii="Times New Roman;serif" w:hAnsi="Times New Roman;serif"/>
          <w:b w:val="false"/>
          <w:color w:val="000000"/>
          <w:sz w:val="20"/>
        </w:rPr>
        <w:t>and is incorporated herein by reference.</w:t>
      </w:r>
    </w:p>
    <w:p>
      <w:pPr>
        <w:pStyle w:val="TextBody"/>
        <w:bidi w:val="0"/>
        <w:spacing w:before="24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/>
          <w:color w:val="000000"/>
          <w:sz w:val="20"/>
        </w:rPr>
        <w:t>SIGNATURES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12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Pursuant to the requirements of the Securities Exchange Act of 1934, the registrant has duly caused this report to be signed on its behalf by the undersigned, thereunto duly organized. </w:t>
      </w:r>
    </w:p>
    <w:tbl>
      <w:tblPr>
        <w:tblW w:w="30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568"/>
        <w:gridCol w:w="568"/>
        <w:gridCol w:w="573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283"/>
              <w:ind w:left="0" w:right="0" w:hanging="588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lineRule="auto" w:line="288" w:before="0" w:after="30"/>
              <w:ind w:left="0" w:right="0" w:hanging="588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Mesoblast Limited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/s/ Niva Sivakumar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Niva Sivakumar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20"/>
              </w:rPr>
              <w:t>Company Secretary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24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Dated: October 14, 2026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10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INDEX TO EXHIBITS</w:t>
      </w:r>
    </w:p>
    <w:tbl>
      <w:tblPr>
        <w:tblW w:w="55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6"/>
        <w:gridCol w:w="171"/>
        <w:gridCol w:w="174"/>
        <w:gridCol w:w="109"/>
        <w:gridCol w:w="109"/>
        <w:gridCol w:w="109"/>
        <w:gridCol w:w="1378"/>
        <w:gridCol w:w="1378"/>
        <w:gridCol w:w="1953"/>
      </w:tblGrid>
      <w:tr>
        <w:trPr/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16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16"/>
              </w:rPr>
              <w:t>Item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53" w:after="30"/>
              <w:jc w:val="left"/>
              <w:rPr/>
            </w:pPr>
            <w:hyperlink w:anchor="exhibit991appendix3h-asx.htm">
              <w:r>
                <w:rPr>
                  <w:rStyle w:val="InternetLink"/>
                  <w:color w:val="0000FF"/>
                  <w:u w:val="single"/>
                </w:rPr>
                <w:t> </w:t>
              </w:r>
            </w:hyperlink>
            <w:hyperlink w:anchor="exhibit991appendix3h-asx.htm">
              <w:r>
                <w:rPr>
                  <w:rStyle w:val="InternetLink"/>
                  <w:rFonts w:ascii="Times New Roman;serif" w:hAnsi="Times New Roman;serif"/>
                  <w:b w:val="false"/>
                  <w:color w:val="0000FF"/>
                  <w:sz w:val="20"/>
                  <w:u w:val="single"/>
                </w:rPr>
                <w:t>99.1</w:t>
              </w:r>
            </w:hyperlink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53" w:after="3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Appendix 3H of Mesoblast Ltd, dated October 14, 2026.</w:t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53" w:after="30"/>
              <w:jc w:val="left"/>
              <w:rPr/>
            </w:pPr>
            <w:hyperlink w:anchor="exhibit992appendix3g-asx.htm">
              <w:r>
                <w:rPr>
                  <w:rStyle w:val="InternetLink"/>
                  <w:color w:val="0000FF"/>
                  <w:u w:val="single"/>
                </w:rPr>
                <w:t> </w:t>
              </w:r>
            </w:hyperlink>
            <w:hyperlink w:anchor="exhibit992appendix3g-asx.htm">
              <w:r>
                <w:rPr>
                  <w:rStyle w:val="InternetLink"/>
                  <w:rFonts w:ascii="Times New Roman;serif" w:hAnsi="Times New Roman;serif"/>
                  <w:b w:val="false"/>
                  <w:color w:val="0000FF"/>
                  <w:sz w:val="20"/>
                  <w:u w:val="single"/>
                </w:rPr>
                <w:t>99.2</w:t>
              </w:r>
            </w:hyperlink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53" w:after="3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Appendix 3G of Mesoblast Ltd, dated October 14, 2026.</w:t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color w:val="000000"/>
              </w:rPr>
              <w:t> </w:t>
            </w:r>
            <w:hyperlink w:anchor="exhibit993appendix2a-asx.htm">
              <w:r>
                <w:rPr>
                  <w:rStyle w:val="InternetLink"/>
                  <w:rFonts w:ascii="Times New Roman;serif" w:hAnsi="Times New Roman;serif"/>
                  <w:b w:val="false"/>
                  <w:color w:val="0000FF"/>
                  <w:sz w:val="20"/>
                  <w:u w:val="single"/>
                </w:rPr>
                <w:t>99.3</w:t>
              </w:r>
            </w:hyperlink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53" w:after="3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Appendix 2A of Mesoblast Ltd, dated October 14, 2026.</w:t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240" w:after="283"/>
        <w:ind w:left="0" w:right="0" w:firstLine="720"/>
        <w:jc w:val="both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bookmarkStart w:id="0" w:name="exhibit991appendix3h-asx.htm"/>
      <w:bookmarkStart w:id="1" w:name="ksexhibit991appendix3hasx"/>
      <w:bookmarkEnd w:id="0"/>
      <w:bookmarkEnd w:id="1"/>
      <w:r>
        <w:rPr/>
        <w:drawing>
          <wp:inline distT="0" distB="0" distL="0" distR="0">
            <wp:extent cx="10048875" cy="13001625"/>
            <wp:effectExtent l="0" t="0" r="0" b="0"/>
            <wp:docPr id="4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Exhibit 99.1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bookmarkStart w:id="2" w:name="exhibit992appendix3g-asx.htm"/>
      <w:bookmarkStart w:id="3" w:name="ksexhibit992appendix3gasx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9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Exhibit 99.2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0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1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2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3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bookmarkStart w:id="4" w:name="exhibit993appendix2a-asx.htm"/>
      <w:bookmarkStart w:id="5" w:name="ksexhibit993appendix2aasx"/>
      <w:bookmarkEnd w:id="4"/>
      <w:bookmarkEnd w:id="5"/>
      <w:r>
        <w:rPr/>
        <w:drawing>
          <wp:inline distT="0" distB="0" distL="0" distR="0">
            <wp:extent cx="10048875" cy="13001625"/>
            <wp:effectExtent l="0" t="0" r="0" b="0"/>
            <wp:docPr id="14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Exhibit 99.3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5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6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7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8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9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20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fontTable" Target="fontTable.xml"/><Relationship Id="rId1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7</Pages>
  <Words>317</Words>
  <Characters>1784</Characters>
  <CharactersWithSpaces>2105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exhibit993appendix2a-asx</dc:title>
</cp:coreProperties>
</file>