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8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803275</wp:posOffset>
            </wp:positionV>
            <wp:extent cx="6373495" cy="20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3495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389255</wp:posOffset>
            </wp:positionH>
            <wp:positionV relativeFrom="page">
              <wp:posOffset>843280</wp:posOffset>
            </wp:positionV>
            <wp:extent cx="6373495" cy="20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3495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UNITED STATES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Report of Foreign Private Issuer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Pursuant to Rule 13a-16 or 15d-16 under the Securities Exchange Act of 1934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For the month of April 2026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Commission File Number 001-37626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b w:val="1"/>
          <w:bCs w:val="1"/>
          <w:color w:val="auto"/>
        </w:rPr>
        <w:t>Mesoblast Limited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Exact name of Registrant as specified in its charter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)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Not Applicable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Translation of Registrant’s name into English)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Australia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Jurisdiction of incorporation or organization)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Silviu Itescu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Chief Executive Officer and Executive Director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Level 38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55 Collins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Melbourne 3000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Australia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Address of principal executive offices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)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Indicate by check mark whether the registrant files or will file annual reports under cover Form 20-F or Form 40-F: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 w:line="161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Form 20-F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☑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Form 40-F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INFORMATION CONTAINED ON THIS REPORT ON FORM 6-K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 w:line="2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On April 7, 2026, Mesoblast Limited filed with the Australian Securities Exchange a new issue announcement, proposed issue of securities (Appendix 3B) which is attached hereto as </w:t>
      </w:r>
      <w:r>
        <w:rPr>
          <w:rFonts w:ascii="Times New Roman" w:cs="Times New Roman" w:eastAsia="Times New Roman" w:hAnsi="Times New Roman"/>
          <w:sz w:val="14"/>
          <w:szCs w:val="14"/>
          <w:u w:val="single" w:color="auto"/>
          <w:color w:val="auto"/>
        </w:rPr>
        <w:t>Exhibit 99.1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, and is incorporated herein by reference.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right="200"/>
        <w:spacing w:after="0" w:line="2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On April 8, 2026, Mesoblast Limited filed with the Australian Securities Exchange a new issue announcement, application for quotation of securities (Appendix 2A) which is attached hereto as </w:t>
      </w:r>
      <w:r>
        <w:rPr>
          <w:rFonts w:ascii="Times New Roman" w:cs="Times New Roman" w:eastAsia="Times New Roman" w:hAnsi="Times New Roman"/>
          <w:sz w:val="14"/>
          <w:szCs w:val="14"/>
          <w:u w:val="single" w:color="auto"/>
          <w:color w:val="auto"/>
        </w:rPr>
        <w:t>Exhibit 99.2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, and is incorporated herein by reference.</w:t>
      </w:r>
    </w:p>
    <w:p>
      <w:pPr>
        <w:sectPr>
          <w:pgSz w:w="11900" w:h="16838" w:orient="portrait"/>
          <w:cols w:equalWidth="0" w:num="1">
            <w:col w:w="11100"/>
          </w:cols>
          <w:pgMar w:left="300" w:top="1141" w:right="499" w:bottom="1440" w:gutter="0" w:footer="0" w:header="0"/>
        </w:sectPr>
      </w:pPr>
    </w:p>
    <w:bookmarkStart w:id="2" w:name="page3"/>
    <w:bookmarkEnd w:id="2"/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SIGNATURES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Pursuant to the requirements of the Securities Exchange Act of 1934, the registrant has duly caused this report to be signed on its behalf by the undersigned, thereunto duly organized.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Mesoblast Limited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/s/ Niva Sivakumar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Niva Sivakumar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Company Secretary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Dated: April 8, 2026</w:t>
      </w:r>
    </w:p>
    <w:p>
      <w:pPr>
        <w:sectPr>
          <w:pgSz w:w="11900" w:h="16838" w:orient="portrait"/>
          <w:cols w:equalWidth="0" w:num="1">
            <w:col w:w="10320"/>
          </w:cols>
          <w:pgMar w:left="300" w:top="1141" w:right="1279" w:bottom="1440" w:gutter="0" w:footer="0" w:header="0"/>
        </w:sectPr>
      </w:pPr>
    </w:p>
    <w:bookmarkStart w:id="3" w:name="page4"/>
    <w:bookmarkEnd w:id="3"/>
    <w:p>
      <w:pPr>
        <w:jc w:val="right"/>
        <w:ind w:right="38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INDEX TO EXHIBITS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auto"/>
                <w:w w:val="89"/>
              </w:rPr>
              <w:t>Item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401"/>
        </w:trPr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99.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u w:val="single" w:color="auto"/>
                <w:color w:val="0000FF"/>
              </w:rPr>
              <w:t>1</w:t>
            </w:r>
          </w:p>
        </w:tc>
        <w:tc>
          <w:tcPr>
            <w:tcW w:w="35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Appendix 3B of Mesoblast Ltd, dated April 7, 2026</w:t>
            </w: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99.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u w:val="single" w:color="auto"/>
                <w:color w:val="0000FF"/>
              </w:rPr>
              <w:t>2</w:t>
            </w:r>
          </w:p>
        </w:tc>
        <w:tc>
          <w:tcPr>
            <w:tcW w:w="35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Appendix 2A of Mesoblast Ltd, dated April 8, 2026</w:t>
            </w: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141" w:right="1440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275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275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053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053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053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2026-04-08T05:20:11Z</dcterms:created>
  <dcterms:modified xsi:type="dcterms:W3CDTF">2026-04-08T05:20:11Z</dcterms:modified>
</cp:coreProperties>
</file>