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Mesoblast Limited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Level 38, 55 Collins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Melbourne, VIC 3000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Australia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February 10,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via EDGAR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Mesoblast Limited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F-3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Filed: February 5, 2025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Act File No.: 333-284705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Request for Acceleration of Effectiveness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Mesoblast Limited (the “Registrant”) hereby respectfully requests acceleration of its Registration Statement on Form F-3 (File No. 333-284705), initially filed on February 5, 2025, so that it will become effective at 9:00 a.m. (Eastern time) on February 12, 2025,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5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questions, or require any additional information, please do not hesitate to email Andrew Reilly, the Registrant’s outside counsel, at andrew.reilly@rimonlaw.com.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right="8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Registrant hereby acknowledges that, if the Securities and Exchange Commission (or its staff, acting pursuant to delegated authority) (the “Commission”) declares the filing effective, such action: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does not foreclose the Commission from taking any action with respect to the filing;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does not relieve the Registrant from its full responsibility for the adequacy and accuracy of the disclosure in the filing; and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660" w:hanging="328"/>
        <w:spacing w:after="0" w:line="282" w:lineRule="auto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not be asserted by the Registrant as a defence in any proceeding initiated by the Commission or any person under the federal securities laws of the United States.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Mesoblast Limited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Andrew Chaponnel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296545</wp:posOffset>
            </wp:positionH>
            <wp:positionV relativeFrom="paragraph">
              <wp:posOffset>18415</wp:posOffset>
            </wp:positionV>
            <wp:extent cx="256286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Andrew Chaponnel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Interim Chief Financial Officer</w:t>
      </w:r>
    </w:p>
    <w:sectPr>
      <w:pgSz w:w="11900" w:h="16838" w:orient="portrait"/>
      <w:cols w:equalWidth="0" w:num="1">
        <w:col w:w="11080"/>
      </w:cols>
      <w:pgMar w:left="320" w:top="445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2025-03-13T23:11:16Z</dcterms:created>
  <dcterms:modified xsi:type="dcterms:W3CDTF">2025-03-13T23:11:16Z</dcterms:modified>
</cp:coreProperties>
</file>