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UNITED STATES </w:t>
        <w:b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pPr>
      <w:r>
        <w:rPr>
          <w:color w:val="000000"/>
        </w:rPr>
        <w:t> </w:t>
      </w:r>
      <w:r>
        <w:rPr>
          <w:rFonts w:ascii="Times New Roman;sans-serif" w:hAnsi="Times New Roman;sans-serif"/>
          <w:b/>
          <w:color w:val="000000"/>
          <w:sz w:val="36"/>
        </w:rPr>
        <w:t>Form 6-K</w:t>
      </w:r>
      <w:r>
        <w:rPr>
          <w:color w:val="000000"/>
        </w:rPr>
        <w:t xml:space="preserve"> </w:t>
      </w:r>
    </w:p>
    <w:p>
      <w:pPr>
        <w:pStyle w:val="TextBody"/>
        <w:bidi w:val="0"/>
        <w:spacing w:lineRule="auto" w:line="288" w:before="240" w:after="283"/>
        <w:jc w:val="center"/>
        <w:rPr/>
      </w:pPr>
      <w:r>
        <w:rPr>
          <w:rFonts w:ascii="Times New Roman;sans-serif" w:hAnsi="Times New Roman;sans-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month of February 2025</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001-37626</w:t>
      </w:r>
    </w:p>
    <w:p>
      <w:pPr>
        <w:pStyle w:val="TextBody"/>
        <w:bidi w:val="0"/>
        <w:spacing w:lineRule="auto" w:line="288" w:before="240" w:after="283"/>
        <w:jc w:val="center"/>
        <w:rPr/>
      </w:pPr>
      <w:r>
        <w:rPr>
          <w:rFonts w:ascii="Times New Roman;sans-serif" w:hAnsi="Times New Roman;sans-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Exact name of Registrant as specified in its charter</w:t>
      </w:r>
      <w:r>
        <w:rPr>
          <w:rFonts w:ascii="Times New Roman;sans-serif" w:hAnsi="Times New Roman;sans-serif"/>
          <w:b w:val="false"/>
          <w:color w:val="000000"/>
          <w:sz w:val="20"/>
        </w:rPr>
        <w: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Translation of Registrant’s name into English)</w:t>
      </w:r>
    </w:p>
    <w:p>
      <w:pPr>
        <w:pStyle w:val="TextBody"/>
        <w:bidi w:val="0"/>
        <w:spacing w:lineRule="auto" w:line="288" w:before="240" w:after="283"/>
        <w:jc w:val="center"/>
        <w:rPr/>
      </w:pPr>
      <w:r>
        <w:rPr>
          <w:rFonts w:ascii="Times New Roman;sans-serif" w:hAnsi="Times New Roman;sans-serif"/>
          <w:b/>
          <w:color w:val="000000"/>
          <w:sz w:val="20"/>
        </w:rPr>
        <w:t>Australia</w:t>
      </w:r>
      <w:r>
        <w:rPr>
          <w:rFonts w:ascii="Times New Roman;sans-serif" w:hAnsi="Times New Roman;sans-serif"/>
          <w:b w:val="false"/>
          <w:color w:val="000000"/>
          <w:sz w:val="20"/>
        </w:rPr>
        <w:br/>
        <w:t>(</w:t>
      </w:r>
      <w:r>
        <w:rPr>
          <w:rFonts w:ascii="Times New Roman;sans-serif" w:hAnsi="Times New Roman;sans-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Silviu Itescu</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Executive Director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Level 38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55 Collins Street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Melbourne 3000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Australia </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Address of principal executive offices</w:t>
      </w:r>
      <w:r>
        <w:rPr>
          <w:rFonts w:ascii="Times New Roman;sans-serif" w:hAnsi="Times New Roman;sans-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INFORMATION CONTAINED ON THIS REPORT ON FORM 6-K</w:t>
      </w:r>
    </w:p>
    <w:p>
      <w:pPr>
        <w:pStyle w:val="TextBody"/>
        <w:bidi w:val="0"/>
        <w:spacing w:lineRule="auto" w:line="288" w:before="240" w:after="283"/>
        <w:jc w:val="left"/>
        <w:rPr/>
      </w:pPr>
      <w:r>
        <w:rPr>
          <w:rFonts w:ascii="Times New Roman;sans-serif" w:hAnsi="Times New Roman;sans-serif"/>
          <w:b w:val="false"/>
          <w:color w:val="000000"/>
          <w:sz w:val="20"/>
        </w:rPr>
        <w:t xml:space="preserve">On February 14, 2025, Mesoblast Limited filed with the Australian Securities Exchange a new release announcement, which is attached hereto as </w:t>
      </w:r>
      <w:r>
        <w:rPr>
          <w:rFonts w:ascii="Times New Roman;sans-serif" w:hAnsi="Times New Roman;sans-serif"/>
          <w:b w:val="false"/>
          <w:color w:val="000000"/>
          <w:sz w:val="20"/>
          <w:u w:val="single"/>
        </w:rPr>
        <w:t>Exhibit 99.1</w:t>
      </w:r>
      <w:r>
        <w:rPr>
          <w:rFonts w:ascii="Times New Roman;sans-serif" w:hAnsi="Times New Roman;sans-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SIGNATURES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ans-serif" w:hAnsi="Times New Roman;sans-serif"/>
                <w:b w:val="false"/>
                <w:color w:val="000000"/>
                <w:sz w:val="20"/>
              </w:rPr>
            </w:pPr>
            <w:r>
              <w:rPr>
                <w:rFonts w:ascii="Times New Roman;sans-serif" w:hAnsi="Times New Roman;sans-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15, 2025</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5563"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374"/>
        <w:gridCol w:w="1374"/>
        <w:gridCol w:w="1947"/>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1.htm">
              <w:r>
                <w:rPr>
                  <w:rStyle w:val="InternetLink"/>
                  <w:color w:val="0000FF"/>
                  <w:u w:val="single"/>
                </w:rPr>
                <w:t> </w:t>
              </w:r>
            </w:hyperlink>
            <w:hyperlink w:anchor="exhibit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of Mesoblast Ltd, dated February 14, 2025.</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htm"/>
      <w:bookmarkStart w:id="1" w:name="ksexhibit991"/>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RYONCIL® FDA APPROVAL AND MARKET LAUNCH HIGHLIGHTED AT TANDEM TRANSPLANTATION MEETINGS Melbourne, Australia; February 14 and New York, USA; February 13, 2025: Mesoblast Limited (ASX:MSB;Nasdaq:MESO), a global leader in allogeneic cellular medicines for inflammatory diseases, today announced that its recently approved product Ryoncil® (remestemcel-L) is being highlighted at the 2025 Transplantation &amp; Cellular Therapy Tandem Meetings of the American Society for Transplantation and Cellular Therapy (ASTCT) and the Center for Blood and Marrow Transplant Research (CIBMTR), the industry’s premier conference taking place this week in Honolulu, HI. Ryoncil® was approved in December 2024 by the United States Food and Drug Administration (FDA) for steroid-refractory acute graft-versus-host disease (SR-aGvHD) in pediatric patients 2 months and older, becoming the first mesenchymal stromal cell (MSC) therapy approved in the U.S. for any indication. Mesoblast has a significant presence at the Tandem meetings including an information hub to engage with and educate healthcare providers in support of Ryoncil’s® upcoming launch. a key presentation by Mesoblast executives of scientific and clinical results for Ryoncil®, and hosting two investigator-led advisory panel meetings discussing Ryoncil® for acute SR-aGvHD. In addition, transplant physician Dr Joanne Kurtzberg, the Jerome Harris Distinguished Professor of Pediatrics and Professor of Pathology, and Director, Marcus Center for Cellular Cures at Duke University Medical Center (DUMC) is also giving a poster presentation titled “Ryoncil (Remestemcel-L) for Third- Line Treatment of SR-aGvHD in Adolescents and Adults.” ....................................................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 for the treatment of steroid-refractory acute graft versus host disease (SR-aGvHD) in pediatric patients 2 months and older is the first FDA-approved mesenchymal stromal cell (MSC) therapy. Please see the full Prescribing Information at www.ryoncil.com.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are expected to provide commercial protection extending through to at least 2041 in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more information, please contact: Corporate Communications / Investors Media – Global Paul Hughes Allison Worldwide T: +61 3 9639 6036 Emma Neal E: investors@mesoblast.com T: +1 603 545 4843 E: emma.neal@allisonworldwide.com Media – Australia BlueDot Media Steve Dabkowski T: +61 419 880 486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1203</Words>
  <Characters>7646</Characters>
  <CharactersWithSpaces>8864</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dc:title>
</cp:coreProperties>
</file>