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COBLEY LYNETTE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LEVEL 38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 COLLINS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MELBOURNE, VICTORIA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C3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MESOBLAST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MESO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10"/>
        <w:gridCol w:w="1957"/>
        <w:gridCol w:w="1161"/>
        <w:gridCol w:w="267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33,000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Synergy Finance Pty Ltd as trustee for Ms Cobley's self-managed superannuation fund.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76"/>
        <w:gridCol w:w="1223"/>
        <w:gridCol w:w="1129"/>
        <w:gridCol w:w="1319"/>
        <w:gridCol w:w="980"/>
        <w:gridCol w:w="1266"/>
        <w:gridCol w:w="1229"/>
        <w:gridCol w:w="138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6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9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05/09/2032</w:t>
            </w:r>
          </w:p>
        </w:tc>
        <w:tc>
          <w:tcPr>
            <w:tcW w:w="13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1.72</w:t>
            </w:r>
          </w:p>
        </w:tc>
        <w:tc>
          <w:tcPr>
            <w:tcW w:w="12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Granted on May 10, 2025. 66,667 options will vest on May 10, 2026, 66,667 options will vest on May 10, 2027, and 66,666 options will vest on May 10, 2028.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There are no derivative securities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Lynette Elizabeth Cobley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2092" TargetMode="External"/><Relationship Id="rId3" Type="http://schemas.openxmlformats.org/officeDocument/2006/relationships/hyperlink" Target="http://www.sec.gov/cgi-bin/browse-edgar?action=getcompany&amp;CIK=000134509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451</Words>
  <Characters>2474</Characters>
  <CharactersWithSpaces>2872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