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69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411480</wp:posOffset>
            </wp:positionH>
            <wp:positionV relativeFrom="page">
              <wp:posOffset>868045</wp:posOffset>
            </wp:positionV>
            <wp:extent cx="6350635" cy="222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635" cy="2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411480</wp:posOffset>
            </wp:positionH>
            <wp:positionV relativeFrom="page">
              <wp:posOffset>911860</wp:posOffset>
            </wp:positionV>
            <wp:extent cx="6350635" cy="222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635" cy="2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7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UNITED STATES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SECURITIES AND EXCHANGE COMMISSION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b w:val="1"/>
          <w:bCs w:val="1"/>
          <w:color w:val="auto"/>
        </w:rPr>
        <w:t>Washington, D.C. 20549</w:t>
      </w:r>
    </w:p>
    <w:p>
      <w:pPr>
        <w:spacing w:after="0" w:line="14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Form 6-K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b w:val="1"/>
          <w:bCs w:val="1"/>
          <w:color w:val="auto"/>
        </w:rPr>
        <w:t>Report of Foreign Private Issuer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b w:val="1"/>
          <w:bCs w:val="1"/>
          <w:color w:val="auto"/>
        </w:rPr>
        <w:t>Pursuant to Rule 13a-16 or 15d-16 under the Securities Exchange Act of 1934</w:t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For the month of April 2025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Commission File Number 001-37626</w:t>
      </w:r>
    </w:p>
    <w:p>
      <w:pPr>
        <w:spacing w:after="0" w:line="184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7"/>
          <w:szCs w:val="37"/>
          <w:b w:val="1"/>
          <w:bCs w:val="1"/>
          <w:color w:val="auto"/>
        </w:rPr>
        <w:t>Mesoblast Limited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(</w:t>
      </w:r>
      <w:r>
        <w:rPr>
          <w:rFonts w:ascii="Times New Roman" w:cs="Times New Roman" w:eastAsia="Times New Roman" w:hAnsi="Times New Roman"/>
          <w:sz w:val="15"/>
          <w:szCs w:val="15"/>
          <w:i w:val="1"/>
          <w:iCs w:val="1"/>
          <w:color w:val="auto"/>
        </w:rPr>
        <w:t>Exact name of Registrant as specified in its charter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)</w:t>
      </w:r>
    </w:p>
    <w:p>
      <w:pPr>
        <w:spacing w:after="0" w:line="178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Not Applicable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(</w:t>
      </w:r>
      <w:r>
        <w:rPr>
          <w:rFonts w:ascii="Times New Roman" w:cs="Times New Roman" w:eastAsia="Times New Roman" w:hAnsi="Times New Roman"/>
          <w:sz w:val="15"/>
          <w:szCs w:val="15"/>
          <w:i w:val="1"/>
          <w:iCs w:val="1"/>
          <w:color w:val="auto"/>
        </w:rPr>
        <w:t>Translation of Registrant’s name into English)</w:t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Australia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(</w:t>
      </w:r>
      <w:r>
        <w:rPr>
          <w:rFonts w:ascii="Times New Roman" w:cs="Times New Roman" w:eastAsia="Times New Roman" w:hAnsi="Times New Roman"/>
          <w:sz w:val="15"/>
          <w:szCs w:val="15"/>
          <w:i w:val="1"/>
          <w:iCs w:val="1"/>
          <w:color w:val="auto"/>
        </w:rPr>
        <w:t>Jurisdiction of incorporation or organization)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Silviu Itescu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Chief Executive Officer and Executive Director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Level 38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55 Collins Street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Melbourne 3000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Australia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(</w:t>
      </w:r>
      <w:r>
        <w:rPr>
          <w:rFonts w:ascii="Times New Roman" w:cs="Times New Roman" w:eastAsia="Times New Roman" w:hAnsi="Times New Roman"/>
          <w:sz w:val="15"/>
          <w:szCs w:val="15"/>
          <w:i w:val="1"/>
          <w:iCs w:val="1"/>
          <w:color w:val="auto"/>
        </w:rPr>
        <w:t>Address of principal executive offices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)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Indicate by check mark whether the registrant files or will file annual reports under cover Form 20-F or Form 40-F: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 w:line="173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Form 20-F </w:t>
      </w:r>
      <w:r>
        <w:rPr>
          <w:rFonts w:ascii="MS PGothic" w:cs="MS PGothic" w:eastAsia="MS PGothic" w:hAnsi="MS PGothic"/>
          <w:sz w:val="15"/>
          <w:szCs w:val="15"/>
          <w:color w:val="auto"/>
        </w:rPr>
        <w:t>☑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 Form 40-F </w:t>
      </w:r>
      <w:r>
        <w:rPr>
          <w:rFonts w:ascii="MS PGothic" w:cs="MS PGothic" w:eastAsia="MS PGothic" w:hAnsi="MS PGothic"/>
          <w:sz w:val="15"/>
          <w:szCs w:val="15"/>
          <w:color w:val="auto"/>
        </w:rPr>
        <w:t>☐</w:t>
      </w:r>
    </w:p>
    <w:p>
      <w:pPr>
        <w:sectPr>
          <w:pgSz w:w="11900" w:h="16838" w:orient="portrait"/>
          <w:cols w:equalWidth="0" w:num="1">
            <w:col w:w="9019"/>
          </w:cols>
          <w:pgMar w:left="1440" w:top="1440" w:right="1440" w:bottom="1440" w:gutter="0" w:footer="0" w:header="0"/>
        </w:sectPr>
      </w:pPr>
    </w:p>
    <w:bookmarkStart w:id="1" w:name="page2"/>
    <w:bookmarkEnd w:id="1"/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INFORMATION CONTAINED ON THIS REPORT ON FORM 6-K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 w:line="29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On April 24, 2025, Mesoblast Limited filed with the Australian Securities Exchange a new issue announcement, change of director’s interest notice (Appendix 3Y) which is attached hereto as </w:t>
      </w:r>
      <w:r>
        <w:rPr>
          <w:rFonts w:ascii="Times New Roman" w:cs="Times New Roman" w:eastAsia="Times New Roman" w:hAnsi="Times New Roman"/>
          <w:sz w:val="15"/>
          <w:szCs w:val="15"/>
          <w:u w:val="single" w:color="auto"/>
          <w:color w:val="auto"/>
        </w:rPr>
        <w:t>Exhibit 99.1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, and is incorporated herein by reference.</w:t>
      </w:r>
    </w:p>
    <w:p>
      <w:pPr>
        <w:sectPr>
          <w:pgSz w:w="11900" w:h="16838" w:orient="portrait"/>
          <w:cols w:equalWidth="0" w:num="1">
            <w:col w:w="11180"/>
          </w:cols>
          <w:pgMar w:left="320" w:top="1232" w:right="399" w:bottom="1440" w:gutter="0" w:footer="0" w:header="0"/>
        </w:sectPr>
      </w:pPr>
    </w:p>
    <w:bookmarkStart w:id="2" w:name="page3"/>
    <w:bookmarkEnd w:id="2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SIGNATURES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Pursuant to the requirements of the Securities Exchange Act of 1934, the registrant has duly caused this report to be signed on its behalf by the undersigned, thereunto duly organized.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0" w:lineRule="exact"/>
        <w:rPr>
          <w:sz w:val="20"/>
          <w:szCs w:val="20"/>
          <w:color w:val="auto"/>
        </w:rPr>
      </w:pPr>
    </w:p>
    <w:p>
      <w:pPr>
        <w:ind w:left="60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Mesoblast Limited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0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/s/ Niva Sivakumar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ind w:left="60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Niva Sivakumar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60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i w:val="1"/>
          <w:iCs w:val="1"/>
          <w:color w:val="auto"/>
        </w:rPr>
        <w:t>Company Secretary</w:t>
      </w:r>
    </w:p>
    <w:p>
      <w:pPr>
        <w:spacing w:after="0" w:line="27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Dated: April 24, 2025</w:t>
      </w:r>
    </w:p>
    <w:p>
      <w:pPr>
        <w:sectPr>
          <w:pgSz w:w="11900" w:h="16838" w:orient="portrait"/>
          <w:cols w:equalWidth="0" w:num="1">
            <w:col w:w="11240"/>
          </w:cols>
          <w:pgMar w:left="320" w:top="1232" w:right="339" w:bottom="1440" w:gutter="0" w:footer="0" w:header="0"/>
        </w:sectPr>
      </w:pPr>
    </w:p>
    <w:bookmarkStart w:id="3" w:name="page4"/>
    <w:bookmarkEnd w:id="3"/>
    <w:p>
      <w:pPr>
        <w:jc w:val="right"/>
        <w:ind w:right="37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INDEX TO EXHIBITS</w:t>
      </w:r>
    </w:p>
    <w:p>
      <w:pPr>
        <w:spacing w:after="0" w:line="32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Item</w:t>
      </w:r>
    </w:p>
    <w:p>
      <w:pPr>
        <w:spacing w:after="0" w:line="284" w:lineRule="exact"/>
        <w:rPr>
          <w:sz w:val="20"/>
          <w:szCs w:val="20"/>
          <w:color w:val="auto"/>
        </w:rPr>
      </w:pPr>
    </w:p>
    <w:p>
      <w:pPr>
        <w:ind w:left="40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99.1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Appendix 3Y of Mesoblast Ltd, dated April 24, 2025.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-3810</wp:posOffset>
            </wp:positionV>
            <wp:extent cx="195580" cy="76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58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1232" w:right="1440" w:bottom="1440" w:gutter="0" w:footer="0" w:header="0"/>
        </w:sectPr>
      </w:pPr>
    </w:p>
    <w:bookmarkStart w:id="4" w:name="page5"/>
    <w:bookmarkEnd w:id="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323850</wp:posOffset>
            </wp:positionV>
            <wp:extent cx="7090410" cy="101828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0182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jpeg"/><Relationship Id="rId13" Type="http://schemas.openxmlformats.org/officeDocument/2006/relationships/image" Target="media/image6.png"/><Relationship Id="rId14" Type="http://schemas.openxmlformats.org/officeDocument/2006/relationships/image" Target="media/image7.jpeg"/><Relationship Id="rId15" Type="http://schemas.openxmlformats.org/officeDocument/2006/relationships/image" Target="media/image8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2025-04-24T05:13:20Z</dcterms:created>
  <dcterms:modified xsi:type="dcterms:W3CDTF">2025-04-24T05:13:20Z</dcterms:modified>
</cp:coreProperties>
</file>