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208915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227330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247015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or 15d-16</w:t>
      </w: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under the Securities Exchange Act of 1934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November 2015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001-37626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240665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Mesoblast Limited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236220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(Translation of Registrant’s name into English)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Australia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(Jurisdiction of incorporation or organization)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Silviu Itescu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Chief Executive Officer and Executive Director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Level 38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55 Collins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Melbourne 3000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Australia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219075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400"/>
        <w:spacing w:after="0" w:line="207" w:lineRule="exact"/>
        <w:tabs>
          <w:tab w:leader="none" w:pos="5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101(b)(1):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920"/>
        <w:spacing w:after="0" w:line="207" w:lineRule="exact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 xml:space="preserve">No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Indicate by check mark if the registrant is submitting the Form 6-K in paper as permitted by Regulation S-T Rule 101(b)(7):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4920"/>
        <w:spacing w:after="0" w:line="207" w:lineRule="exact"/>
        <w:tabs>
          <w:tab w:leader="none" w:pos="5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Yes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 xml:space="preserve">No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181610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224155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368" w:right="1440" w:bottom="1440" w:gutter="0" w:footer="0" w:header="0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INFORMATION CONTAINED ON THIS REPORT ON FORM 6-K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November 23, 2015, Mesoblast Limited submitted the Change in Director’s Interest Notice form to the Australian Securities Exchange, a copy of which is attached to this report as Exhibit 99.1.</w:t>
      </w:r>
    </w:p>
    <w:p>
      <w:pPr>
        <w:sectPr>
          <w:pgSz w:w="11900" w:h="16838" w:orient="portrait"/>
          <w:cols w:equalWidth="0" w:num="1">
            <w:col w:w="11400"/>
          </w:cols>
          <w:pgMar w:left="240" w:top="270" w:right="259" w:bottom="1440" w:gutter="0" w:footer="0" w:header="0"/>
        </w:sectPr>
      </w:pPr>
    </w:p>
    <w:bookmarkStart w:id="2" w:name="page3"/>
    <w:bookmarkEnd w:id="2"/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organized.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</w:t>
      </w:r>
      <w:r>
        <w:rPr>
          <w:rFonts w:ascii="Arial" w:cs="Arial" w:eastAsia="Arial" w:hAnsi="Arial"/>
          <w:sz w:val="15"/>
          <w:szCs w:val="15"/>
          <w:color w:val="auto"/>
        </w:rPr>
        <w:t>ESOBLAST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L</w:t>
      </w:r>
      <w:r>
        <w:rPr>
          <w:rFonts w:ascii="Arial" w:cs="Arial" w:eastAsia="Arial" w:hAnsi="Arial"/>
          <w:sz w:val="15"/>
          <w:szCs w:val="15"/>
          <w:color w:val="auto"/>
        </w:rPr>
        <w:t>IMITED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Peter T. Howard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Peter T. Howard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General Counsel and Corporate Executive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Dated: November 25, 2015</w:t>
      </w:r>
    </w:p>
    <w:p>
      <w:pPr>
        <w:sectPr>
          <w:pgSz w:w="11900" w:h="16838" w:orient="portrait"/>
          <w:cols w:equalWidth="0" w:num="1">
            <w:col w:w="11260"/>
          </w:cols>
          <w:pgMar w:left="240" w:top="270" w:right="399" w:bottom="1440" w:gutter="0" w:footer="0" w:header="0"/>
        </w:sectPr>
      </w:pPr>
    </w:p>
    <w:bookmarkStart w:id="3" w:name="page4"/>
    <w:bookmarkEnd w:id="3"/>
    <w:p>
      <w:pPr>
        <w:jc w:val="right"/>
        <w:ind w:right="35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INDEX TO EXHIBITS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u w:val="single" w:color="auto"/>
          <w:color w:val="auto"/>
        </w:rPr>
        <w:t>Item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Change of Director’s Interest Notice</w:t>
      </w:r>
    </w:p>
    <w:p>
      <w:pPr>
        <w:sectPr>
          <w:pgSz w:w="11900" w:h="16838" w:orient="portrait"/>
          <w:cols w:equalWidth="0" w:num="1">
            <w:col w:w="10219"/>
          </w:cols>
          <w:pgMar w:left="240" w:top="270" w:right="1440" w:bottom="1440" w:gutter="0" w:footer="0" w:header="0"/>
        </w:sectPr>
      </w:pPr>
    </w:p>
    <w:bookmarkStart w:id="4" w:name="page5"/>
    <w:bookmarkEnd w:id="4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Appendix 3Y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Change of Director’s Interest Notice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91440</wp:posOffset>
            </wp:positionV>
            <wp:extent cx="724662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Rule 3.19A.2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Appendix 3Y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Change of Director’s Interest Notice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Information or documents not available now must be given to ASX as soon as available. Information and documents given to ASX become ASX’s property and may be made public.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Introduced 30/09/01 Amended 01/01/11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Name of entity Mesoblast Limited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ABN 68 109 431 870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(the entity) give ASX the following information under listing rule 3.19A.2 and as agent for the director for the purposes of section 205G of the Corporations Act.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Name of 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Donal O’Dwyer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last notice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13 July 2015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Part 1 - Change of director’s relevant interests in securities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In the case of a trust, this includes interests in the trust made available by the responsible entity of the trust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Note: In the case of a company, interests which come within paragraph (i) of the definition of “notifiable interest of a director” should be disclosed in this part.</w:t>
      </w:r>
    </w:p>
    <w:p>
      <w:pPr>
        <w:sectPr>
          <w:pgSz w:w="11900" w:h="16838" w:orient="portrait"/>
          <w:cols w:equalWidth="0" w:num="1">
            <w:col w:w="11420"/>
          </w:cols>
          <w:pgMar w:left="240" w:top="121" w:right="239" w:bottom="1440" w:gutter="0" w:footer="0" w:header="0"/>
        </w:sectPr>
      </w:pP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Direct or indirect interest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Nature of indirect interest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(including registered holder)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Note: Provide details of the circumstances giving rise to the relevant interest.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Date of change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No. of securities held prior to change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Class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Number acquired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Number disposed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Value/Consideration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Note: If consideration is non-cash, provide details and estimated valuation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107315</wp:posOffset>
            </wp:positionV>
            <wp:extent cx="72898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2940" w:firstLine="8"/>
        <w:spacing w:after="0" w:line="536" w:lineRule="auto"/>
        <w:tabs>
          <w:tab w:leader="none" w:pos="216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See chapter 19 for defined terms. 01/01/2011 Appendix 3Y Page 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Indirect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2" w:right="1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Registered holder Dundrum Investments Pty Ltd as trustee for O’Dwyer Family Trust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19 November 2015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511,824 Options held as follows: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382" w:hanging="382"/>
        <w:spacing w:after="0"/>
        <w:tabs>
          <w:tab w:leader="none" w:pos="382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255,912 options held directly; and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2" w:hanging="382"/>
        <w:spacing w:after="0"/>
        <w:tabs>
          <w:tab w:leader="none" w:pos="382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255,912 options held indirectly.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592,903 Ordinary Shares held as follows: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2" w:hanging="382"/>
        <w:spacing w:after="0"/>
        <w:tabs>
          <w:tab w:leader="none" w:pos="382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300,000 shares held directly; and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" w:right="2780" w:hanging="2"/>
        <w:spacing w:after="0" w:line="375" w:lineRule="auto"/>
        <w:tabs>
          <w:tab w:leader="none" w:pos="38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292,903 shares held indirectly. Ordinary Shares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26,915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N/A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A$49,999.65</w:t>
      </w:r>
    </w:p>
    <w:p>
      <w:pPr>
        <w:sectPr>
          <w:pgSz w:w="11900" w:h="16838" w:orient="portrait"/>
          <w:cols w:equalWidth="0" w:num="2">
            <w:col w:w="5560" w:space="498"/>
            <w:col w:w="5362"/>
          </w:cols>
          <w:pgMar w:left="240" w:top="121" w:right="239" w:bottom="1440" w:gutter="0" w:footer="0" w:header="0"/>
          <w:type w:val="continuous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Appendix 3Y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Change of Director’s Interest Notice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168910</wp:posOffset>
            </wp:positionV>
            <wp:extent cx="724662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No. of securities held after change</w:t>
            </w:r>
          </w:p>
        </w:tc>
        <w:tc>
          <w:tcPr>
            <w:tcW w:w="3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511,824 Options held as follows:</w:t>
            </w:r>
          </w:p>
        </w:tc>
      </w:tr>
      <w:tr>
        <w:trPr>
          <w:trHeight w:val="324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2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255,912 options held directly; and</w:t>
            </w:r>
          </w:p>
        </w:tc>
      </w:tr>
      <w:tr>
        <w:trPr>
          <w:trHeight w:val="324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2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255,912 options held indirectly.</w:t>
            </w:r>
          </w:p>
        </w:tc>
      </w:tr>
      <w:tr>
        <w:trPr>
          <w:trHeight w:val="324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619,818 Ordinary Shares held as follows:</w:t>
            </w:r>
          </w:p>
        </w:tc>
      </w:tr>
      <w:tr>
        <w:trPr>
          <w:trHeight w:val="324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2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300,000 shares held directly; and</w:t>
            </w:r>
          </w:p>
        </w:tc>
      </w:tr>
      <w:tr>
        <w:trPr>
          <w:trHeight w:val="324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•</w:t>
            </w:r>
          </w:p>
        </w:tc>
        <w:tc>
          <w:tcPr>
            <w:tcW w:w="2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319,818 shares held indirectly.</w:t>
            </w:r>
          </w:p>
        </w:tc>
      </w:tr>
      <w:tr>
        <w:trPr>
          <w:trHeight w:val="310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Nature of change</w:t>
            </w:r>
          </w:p>
        </w:tc>
        <w:tc>
          <w:tcPr>
            <w:tcW w:w="3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On-market share purchase</w:t>
            </w:r>
          </w:p>
        </w:tc>
      </w:tr>
      <w:tr>
        <w:trPr>
          <w:trHeight w:val="216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Example: on-market trade, off-market trade, exercise of options, issue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securities under dividend reinvestment plan, participation in buy-back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Part 2 – Change of director’s interests in contracts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30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Note: In the case of a company, interests which come within paragraph (ii) of the definition of “notifiable interest of a director” should be disclosed in this part.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Detail of contract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324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Nature of interest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306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Name of registered holder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234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(if issued securities)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38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Date of change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310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No. and class of securities to which interest related prior to change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216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Note: Details are only required for a contract in relation to which the interest has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changed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38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Interest acquired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324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Interest disposed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310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Value/Consideration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230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Note: If consideration is non-cash, provide details and an estimated valuation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38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Interest after change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540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 xml:space="preserve">Part 3 – 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+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Closed period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41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Were the interests in the securities or contracts detailed above traded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</w:t>
            </w:r>
          </w:p>
        </w:tc>
      </w:tr>
      <w:tr>
        <w:trPr>
          <w:trHeight w:val="234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 xml:space="preserve">during a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+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closed period where prior written clearance was required?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6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If so, was prior written clearance provided to allow the trade to proceed</w:t>
            </w:r>
          </w:p>
        </w:tc>
        <w:tc>
          <w:tcPr>
            <w:tcW w:w="5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</w:tr>
      <w:tr>
        <w:trPr>
          <w:trHeight w:val="234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during this period?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3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50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+  See chapter 19 for defined terms.</w:t>
            </w:r>
          </w:p>
        </w:tc>
        <w:tc>
          <w:tcPr>
            <w:tcW w:w="5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65"/>
        </w:trPr>
        <w:tc>
          <w:tcPr>
            <w:tcW w:w="5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Appendix 3Y Page 2</w:t>
            </w:r>
          </w:p>
        </w:tc>
        <w:tc>
          <w:tcPr>
            <w:tcW w:w="5480" w:type="dxa"/>
            <w:vAlign w:val="bottom"/>
          </w:tcPr>
          <w:p>
            <w:pPr>
              <w:ind w:left="4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01/01/2011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70" w:right="239" w:bottom="1440" w:gutter="0" w:footer="0" w:header="0"/>
        </w:sectPr>
      </w:pPr>
    </w:p>
    <w:bookmarkStart w:id="6" w:name="page7"/>
    <w:bookmarkEnd w:id="6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Appendix 3Y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Change of Director’s Interest Notice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168910</wp:posOffset>
            </wp:positionV>
            <wp:extent cx="724662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If prior written clearance was provided, on what date was this provided?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N/A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102870</wp:posOffset>
            </wp:positionV>
            <wp:extent cx="72898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8880" w:firstLine="8"/>
        <w:spacing w:after="0" w:line="536" w:lineRule="auto"/>
        <w:tabs>
          <w:tab w:leader="none" w:pos="147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See chapter 19 for defined terms. 01/01/2011 Appendix 3Y Page 3</w:t>
      </w:r>
    </w:p>
    <w:sectPr>
      <w:pgSz w:w="11900" w:h="16838" w:orient="portrait"/>
      <w:cols w:equalWidth="0" w:num="1">
        <w:col w:w="11420"/>
      </w:cols>
      <w:pgMar w:left="240" w:top="27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+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•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+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2019-12-08T14:51:59Z</dcterms:created>
  <dcterms:modified xsi:type="dcterms:W3CDTF">2019-12-08T14:51:59Z</dcterms:modified>
</cp:coreProperties>
</file>